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information</w:t>
      </w:r>
      <w:r>
        <w:t xml:space="preserve"> </w:t>
      </w:r>
      <w:r>
        <w:t xml:space="preserve">for</w:t>
      </w:r>
      <w:r>
        <w:t xml:space="preserve"> </w:t>
      </w:r>
      <w:r>
        <w:rPr>
          <w:iCs/>
          <w:i/>
        </w:rPr>
        <w:t xml:space="preserve">Comparing</w:t>
      </w:r>
      <w:r>
        <w:rPr>
          <w:iCs/>
          <w:i/>
        </w:rPr>
        <w:t xml:space="preserve"> </w:t>
      </w:r>
      <w:r>
        <w:rPr>
          <w:iCs/>
          <w:i/>
        </w:rPr>
        <w:t xml:space="preserve">corrosion</w:t>
      </w:r>
      <w:r>
        <w:rPr>
          <w:iCs/>
          <w:i/>
        </w:rPr>
        <w:t xml:space="preserve"> </w:t>
      </w:r>
      <w:r>
        <w:rPr>
          <w:iCs/>
          <w:i/>
        </w:rPr>
        <w:t xml:space="preserve">control</w:t>
      </w:r>
      <w:r>
        <w:rPr>
          <w:iCs/>
          <w:i/>
        </w:rPr>
        <w:t xml:space="preserve"> </w:t>
      </w:r>
      <w:r>
        <w:rPr>
          <w:iCs/>
          <w:i/>
        </w:rPr>
        <w:t xml:space="preserve">treatments</w:t>
      </w:r>
      <w:r>
        <w:rPr>
          <w:iCs/>
          <w:i/>
        </w:rPr>
        <w:t xml:space="preserve"> </w:t>
      </w:r>
      <w:r>
        <w:rPr>
          <w:iCs/>
          <w:i/>
        </w:rPr>
        <w:t xml:space="preserve">for</w:t>
      </w:r>
      <w:r>
        <w:rPr>
          <w:iCs/>
          <w:i/>
        </w:rPr>
        <w:t xml:space="preserve"> </w:t>
      </w:r>
      <w:r>
        <w:rPr>
          <w:iCs/>
          <w:i/>
        </w:rPr>
        <w:t xml:space="preserve">drinking</w:t>
      </w:r>
      <w:r>
        <w:rPr>
          <w:iCs/>
          <w:i/>
        </w:rPr>
        <w:t xml:space="preserve"> </w:t>
      </w:r>
      <w:r>
        <w:rPr>
          <w:iCs/>
          <w:i/>
        </w:rPr>
        <w:t xml:space="preserve">water</w:t>
      </w:r>
      <w:r>
        <w:rPr>
          <w:iCs/>
          <w:i/>
        </w:rPr>
        <w:t xml:space="preserve"> </w:t>
      </w:r>
      <w:r>
        <w:rPr>
          <w:iCs/>
          <w:i/>
        </w:rPr>
        <w:t xml:space="preserve">using</w:t>
      </w:r>
      <w:r>
        <w:rPr>
          <w:iCs/>
          <w:i/>
        </w:rPr>
        <w:t xml:space="preserve"> </w:t>
      </w:r>
      <w:r>
        <w:rPr>
          <w:iCs/>
          <w:i/>
        </w:rPr>
        <w:t xml:space="preserve">a</w:t>
      </w:r>
      <w:r>
        <w:rPr>
          <w:iCs/>
          <w:i/>
        </w:rPr>
        <w:t xml:space="preserve"> </w:t>
      </w:r>
      <w:r>
        <w:rPr>
          <w:iCs/>
          <w:i/>
        </w:rPr>
        <w:t xml:space="preserve">robust</w:t>
      </w:r>
      <w:r>
        <w:rPr>
          <w:iCs/>
          <w:i/>
        </w:rPr>
        <w:t xml:space="preserve"> </w:t>
      </w:r>
      <w:r>
        <w:rPr>
          <w:iCs/>
          <w:i/>
        </w:rPr>
        <w:t xml:space="preserve">Bayesian</w:t>
      </w:r>
      <w:r>
        <w:rPr>
          <w:iCs/>
          <w:i/>
        </w:rPr>
        <w:t xml:space="preserve"> </w:t>
      </w:r>
      <w:r>
        <w:rPr>
          <w:iCs/>
          <w:i/>
        </w:rPr>
        <w:t xml:space="preserve">generalized</w:t>
      </w:r>
      <w:r>
        <w:rPr>
          <w:iCs/>
          <w:i/>
        </w:rPr>
        <w:t xml:space="preserve"> </w:t>
      </w:r>
      <w:r>
        <w:rPr>
          <w:iCs/>
          <w:i/>
        </w:rPr>
        <w:t xml:space="preserve">additive</w:t>
      </w:r>
      <w:r>
        <w:rPr>
          <w:iCs/>
          <w:i/>
        </w:rPr>
        <w:t xml:space="preserve"> </w:t>
      </w:r>
      <w:r>
        <w:rPr>
          <w:iCs/>
          <w:i/>
        </w:rPr>
        <w:t xml:space="preserve">model</w:t>
      </w:r>
    </w:p>
    <w:p>
      <w:pPr>
        <w:pStyle w:val="Author"/>
      </w:pPr>
      <w:r>
        <w:t xml:space="preserve">Benjamin</w:t>
      </w:r>
      <w:r>
        <w:t xml:space="preserve"> </w:t>
      </w:r>
      <w:r>
        <w:t xml:space="preserve">F.</w:t>
      </w:r>
      <w:r>
        <w:t xml:space="preserve"> </w:t>
      </w:r>
      <w:r>
        <w:t xml:space="preserve">Trueman</w:t>
      </w:r>
      <w:r>
        <w:rPr>
          <w:vertAlign w:val="superscript"/>
        </w:rPr>
        <w:t xml:space="preserve">§,*</w:t>
      </w:r>
      <w:r>
        <w:t xml:space="preserve">,</w:t>
      </w:r>
      <w:r>
        <w:t xml:space="preserve"> </w:t>
      </w:r>
      <w:r>
        <w:t xml:space="preserve">Wendell</w:t>
      </w:r>
      <w:r>
        <w:t xml:space="preserve"> </w:t>
      </w:r>
      <w:r>
        <w:t xml:space="preserve">James</w:t>
      </w:r>
      <w:r>
        <w:rPr>
          <w:vertAlign w:val="superscript"/>
        </w:rPr>
        <w:t xml:space="preserve">†</w:t>
      </w:r>
      <w:r>
        <w:t xml:space="preserve">,</w:t>
      </w:r>
      <w:r>
        <w:t xml:space="preserve"> </w:t>
      </w:r>
      <w:r>
        <w:t xml:space="preserve">Trevor</w:t>
      </w:r>
      <w:r>
        <w:t xml:space="preserve"> </w:t>
      </w:r>
      <w:r>
        <w:t xml:space="preserve">Shu</w:t>
      </w:r>
      <w:r>
        <w:rPr>
          <w:vertAlign w:val="superscript"/>
        </w:rPr>
        <w:t xml:space="preserve">†</w:t>
      </w:r>
      <w:r>
        <w:t xml:space="preserve">,</w:t>
      </w:r>
      <w:r>
        <w:t xml:space="preserve"> </w:t>
      </w:r>
      <w:r>
        <w:t xml:space="preserve">Evelyne</w:t>
      </w:r>
      <w:r>
        <w:t xml:space="preserve"> </w:t>
      </w:r>
      <w:r>
        <w:t xml:space="preserve">Doré</w:t>
      </w:r>
      <w:r>
        <w:rPr>
          <w:vertAlign w:val="superscript"/>
        </w:rPr>
        <w:t xml:space="preserve">§</w:t>
      </w:r>
      <w:r>
        <w:t xml:space="preserve">,</w:t>
      </w:r>
      <w:r>
        <w:t xml:space="preserve"> </w:t>
      </w:r>
      <w:r>
        <w:t xml:space="preserve">and</w:t>
      </w:r>
      <w:r>
        <w:t xml:space="preserve"> </w:t>
      </w:r>
      <w:r>
        <w:t xml:space="preserve">Graham</w:t>
      </w:r>
      <w:r>
        <w:t xml:space="preserve"> </w:t>
      </w:r>
      <w:r>
        <w:t xml:space="preserve">A.</w:t>
      </w:r>
      <w:r>
        <w:t xml:space="preserve"> </w:t>
      </w:r>
      <w:r>
        <w:t xml:space="preserve">Gagnon</w:t>
      </w:r>
      <w:r>
        <w:rPr>
          <w:vertAlign w:val="superscript"/>
        </w:rPr>
        <w:t xml:space="preserve">§</w:t>
      </w:r>
    </w:p>
    <w:p>
      <w:pPr>
        <w:pStyle w:val="Date"/>
      </w:pPr>
      <w:r>
        <w:rPr>
          <w:vertAlign w:val="superscript"/>
        </w:rPr>
        <w:t xml:space="preserve">§</w:t>
      </w:r>
      <w:r>
        <w:t xml:space="preserve">Centre</w:t>
      </w:r>
      <w:r>
        <w:t xml:space="preserve"> </w:t>
      </w:r>
      <w:r>
        <w:t xml:space="preserve">for</w:t>
      </w:r>
      <w:r>
        <w:t xml:space="preserve"> </w:t>
      </w:r>
      <w:r>
        <w:t xml:space="preserve">Water</w:t>
      </w:r>
      <w:r>
        <w:t xml:space="preserve"> </w:t>
      </w:r>
      <w:r>
        <w:t xml:space="preserve">Resources</w:t>
      </w:r>
      <w:r>
        <w:t xml:space="preserve"> </w:t>
      </w:r>
      <w:r>
        <w:t xml:space="preserve">Studies,</w:t>
      </w:r>
      <w:r>
        <w:t xml:space="preserve"> </w:t>
      </w:r>
      <w:r>
        <w:t xml:space="preserve">Department</w:t>
      </w:r>
      <w:r>
        <w:t xml:space="preserve"> </w:t>
      </w:r>
      <w:r>
        <w:t xml:space="preserve">of</w:t>
      </w:r>
      <w:r>
        <w:t xml:space="preserve"> </w:t>
      </w:r>
      <w:r>
        <w:t xml:space="preserve">Civil</w:t>
      </w:r>
      <w:r>
        <w:t xml:space="preserve"> </w:t>
      </w:r>
      <w:r>
        <w:t xml:space="preserve">&amp;</w:t>
      </w:r>
      <w:r>
        <w:t xml:space="preserve"> </w:t>
      </w:r>
      <w:r>
        <w:t xml:space="preserve">Resource</w:t>
      </w:r>
      <w:r>
        <w:t xml:space="preserve"> </w:t>
      </w:r>
      <w:r>
        <w:t xml:space="preserve">Engineering,</w:t>
      </w:r>
      <w:r>
        <w:t xml:space="preserve"> </w:t>
      </w:r>
      <w:r>
        <w:t xml:space="preserve">Dalhousie</w:t>
      </w:r>
      <w:r>
        <w:t xml:space="preserve"> </w:t>
      </w:r>
      <w:r>
        <w:t xml:space="preserve">University,</w:t>
      </w:r>
      <w:r>
        <w:t xml:space="preserve"> </w:t>
      </w:r>
      <w:r>
        <w:t xml:space="preserve">1360</w:t>
      </w:r>
      <w:r>
        <w:t xml:space="preserve"> </w:t>
      </w:r>
      <w:r>
        <w:t xml:space="preserve">Barrington</w:t>
      </w:r>
      <w:r>
        <w:t xml:space="preserve"> </w:t>
      </w:r>
      <w:r>
        <w:t xml:space="preserve">St.,</w:t>
      </w:r>
      <w:r>
        <w:t xml:space="preserve"> </w:t>
      </w:r>
      <w:r>
        <w:t xml:space="preserve">Halifax,</w:t>
      </w:r>
      <w:r>
        <w:t xml:space="preserve"> </w:t>
      </w:r>
      <w:r>
        <w:t xml:space="preserve">NS,</w:t>
      </w:r>
      <w:r>
        <w:t xml:space="preserve"> </w:t>
      </w:r>
      <w:r>
        <w:t xml:space="preserve">CAN</w:t>
      </w:r>
      <w:r>
        <w:t xml:space="preserve"> </w:t>
      </w:r>
      <w:r>
        <w:t xml:space="preserve">B3H</w:t>
      </w:r>
      <w:r>
        <w:t xml:space="preserve"> </w:t>
      </w:r>
      <w:r>
        <w:t xml:space="preserve">4R2</w:t>
      </w:r>
      <w:r>
        <w:br/>
      </w:r>
      <w:r>
        <w:t xml:space="preserve"> </w:t>
      </w:r>
      <w:r>
        <w:br/>
      </w:r>
      <w:r>
        <w:t xml:space="preserve"> </w:t>
      </w:r>
      <w:r>
        <w:rPr>
          <w:vertAlign w:val="superscript"/>
        </w:rPr>
        <w:t xml:space="preserve">†</w:t>
      </w:r>
      <w:r>
        <w:t xml:space="preserve">EPCOR</w:t>
      </w:r>
      <w:r>
        <w:t xml:space="preserve"> </w:t>
      </w:r>
      <w:r>
        <w:t xml:space="preserve">Water</w:t>
      </w:r>
      <w:r>
        <w:t xml:space="preserve"> </w:t>
      </w:r>
      <w:r>
        <w:t xml:space="preserve">Services,</w:t>
      </w:r>
      <w:r>
        <w:t xml:space="preserve"> </w:t>
      </w:r>
      <w:r>
        <w:t xml:space="preserve">Edmonton,</w:t>
      </w:r>
      <w:r>
        <w:t xml:space="preserve"> </w:t>
      </w:r>
      <w:r>
        <w:t xml:space="preserve">AB,</w:t>
      </w:r>
      <w:r>
        <w:t xml:space="preserve"> </w:t>
      </w:r>
      <w:r>
        <w:t xml:space="preserve">CAN</w:t>
      </w:r>
      <w:r>
        <w:br/>
      </w:r>
      <w:r>
        <w:t xml:space="preserve"> </w:t>
      </w:r>
      <w:r>
        <w:br/>
      </w:r>
      <w:r>
        <w:t xml:space="preserve"> </w:t>
      </w:r>
      <w:r>
        <w:rPr>
          <w:vertAlign w:val="superscript"/>
        </w:rPr>
        <w:t xml:space="preserve">*</w:t>
      </w:r>
      <w:r>
        <w:t xml:space="preserve">Corresponding</w:t>
      </w:r>
      <w:r>
        <w:t xml:space="preserve"> </w:t>
      </w:r>
      <w:r>
        <w:t xml:space="preserve">author:</w:t>
      </w:r>
      <w:r>
        <w:t xml:space="preserve"> </w:t>
      </w:r>
      <w:hyperlink r:id="rId20">
        <w:r>
          <w:rPr>
            <w:rStyle w:val="Hyperlink"/>
          </w:rPr>
          <w:t xml:space="preserve">benjamin.trueman@dal.ca</w:t>
        </w:r>
      </w:hyperlink>
    </w:p>
    <w:p>
      <w:pPr>
        <w:pStyle w:val="FirstParagraph"/>
      </w:pPr>
      <w:r>
        <w:t xml:space="preserve">This document contains 8 figures, 4 tables, and 12 pages.</w:t>
      </w:r>
    </w:p>
    <w:p>
      <w:pPr>
        <w:pStyle w:val="TableCaption"/>
      </w:pPr>
      <w:r>
        <w:rPr>
          <w:bCs/>
          <w:b/>
        </w:rPr>
        <w:t xml:space="preserve">Table S1.</w:t>
      </w:r>
      <w:r>
        <w:t xml:space="preserve"> </w:t>
      </w:r>
      <w:r>
        <w:t xml:space="preserve">Orthophosphate dosing schedule.</w:t>
      </w:r>
    </w:p>
    <w:tbl>
      <w:tblPr>
        <w:tblStyle w:val="Table"/>
        <w:tblW w:type="auto" w:w="0"/>
        <w:tblLook w:firstRow="1" w:lastRow="0" w:firstColumn="0" w:lastColumn="0" w:noHBand="0" w:noVBand="0" w:val="0020"/>
        <w:tblCaption w:val="Table S1. Orthophosphate dosing schedule."/>
      </w:tblPr>
      <w:tblGrid>
        <w:gridCol w:w="2640"/>
        <w:gridCol w:w="2640"/>
        <w:gridCol w:w="2640"/>
      </w:tblGrid>
      <w:tr>
        <w:trPr>
          <w:tblHeader w:val="true"/>
        </w:trPr>
        <w:tc>
          <w:tcPr/>
          <w:p>
            <w:pPr>
              <w:pStyle w:val="Compact"/>
              <w:jc w:val="right"/>
            </w:pPr>
            <w:r>
              <w:t xml:space="preserve">Array</w:t>
            </w:r>
          </w:p>
        </w:tc>
        <w:tc>
          <w:tcPr/>
          <w:p>
            <w:pPr>
              <w:pStyle w:val="Compact"/>
              <w:jc w:val="left"/>
            </w:pPr>
            <w:r>
              <w:t xml:space="preserve">Ortho-P Dosing (mg/L, as P)</w:t>
            </w:r>
          </w:p>
        </w:tc>
        <w:tc>
          <w:tcPr/>
          <w:p>
            <w:pPr>
              <w:pStyle w:val="Compact"/>
              <w:jc w:val="left"/>
            </w:pPr>
            <w:r>
              <w:t xml:space="preserve">Timeline</w:t>
            </w:r>
          </w:p>
        </w:tc>
      </w:tr>
      <w:tr>
        <w:tc>
          <w:tcPr/>
          <w:p>
            <w:pPr>
              <w:pStyle w:val="Compact"/>
              <w:jc w:val="right"/>
            </w:pPr>
            <w:r>
              <w:t xml:space="preserve">1</w:t>
            </w:r>
          </w:p>
        </w:tc>
        <w:tc>
          <w:tcPr/>
          <w:p>
            <w:pPr>
              <w:pStyle w:val="Compact"/>
              <w:jc w:val="left"/>
            </w:pPr>
            <w:r>
              <w:t xml:space="preserve">Conditioning, 0.0</w:t>
            </w:r>
          </w:p>
        </w:tc>
        <w:tc>
          <w:tcPr/>
          <w:p>
            <w:pPr>
              <w:pStyle w:val="Compact"/>
              <w:jc w:val="left"/>
            </w:pPr>
            <w:r>
              <w:t xml:space="preserve">Sep. 27, 2017 - Jan. 29, 2019</w:t>
            </w:r>
          </w:p>
        </w:tc>
      </w:tr>
      <w:tr>
        <w:tc>
          <w:tcPr/>
          <w:p>
            <w:pPr>
              <w:pStyle w:val="Compact"/>
              <w:jc w:val="right"/>
            </w:pPr>
            <w:r>
              <w:t xml:space="preserve">.</w:t>
            </w:r>
          </w:p>
        </w:tc>
        <w:tc>
          <w:tcPr/>
          <w:p>
            <w:pPr>
              <w:pStyle w:val="Compact"/>
              <w:jc w:val="left"/>
            </w:pPr>
            <w:r>
              <w:t xml:space="preserve">0.5</w:t>
            </w:r>
          </w:p>
        </w:tc>
        <w:tc>
          <w:tcPr/>
          <w:p>
            <w:pPr>
              <w:pStyle w:val="Compact"/>
              <w:jc w:val="left"/>
            </w:pPr>
            <w:r>
              <w:t xml:space="preserve">Jan. 29, 2019 onward, to date</w:t>
            </w:r>
          </w:p>
        </w:tc>
      </w:tr>
      <w:tr>
        <w:tc>
          <w:tcPr/>
          <w:p>
            <w:pPr>
              <w:pStyle w:val="Compact"/>
              <w:jc w:val="right"/>
            </w:pPr>
            <w:r>
              <w:t xml:space="preserve">2</w:t>
            </w:r>
          </w:p>
        </w:tc>
        <w:tc>
          <w:tcPr/>
          <w:p>
            <w:pPr>
              <w:pStyle w:val="Compact"/>
              <w:jc w:val="left"/>
            </w:pPr>
            <w:r>
              <w:t xml:space="preserve">Conditioning, 0.0</w:t>
            </w:r>
          </w:p>
        </w:tc>
        <w:tc>
          <w:tcPr/>
          <w:p>
            <w:pPr>
              <w:pStyle w:val="Compact"/>
              <w:jc w:val="left"/>
            </w:pPr>
            <w:r>
              <w:t xml:space="preserve">Sep. 27, 2017 - Mar. 13, 2018</w:t>
            </w:r>
          </w:p>
        </w:tc>
      </w:tr>
      <w:tr>
        <w:tc>
          <w:tcPr/>
          <w:p>
            <w:pPr>
              <w:pStyle w:val="Compact"/>
              <w:jc w:val="right"/>
            </w:pPr>
            <w:r>
              <w:t xml:space="preserve">.</w:t>
            </w:r>
          </w:p>
        </w:tc>
        <w:tc>
          <w:tcPr/>
          <w:p>
            <w:pPr>
              <w:pStyle w:val="Compact"/>
              <w:jc w:val="left"/>
            </w:pPr>
            <w:r>
              <w:t xml:space="preserve">1</w:t>
            </w:r>
          </w:p>
        </w:tc>
        <w:tc>
          <w:tcPr/>
          <w:p>
            <w:pPr>
              <w:pStyle w:val="Compact"/>
              <w:jc w:val="left"/>
            </w:pPr>
            <w:r>
              <w:t xml:space="preserve">Mar. 13, 2018 onward, to date</w:t>
            </w:r>
          </w:p>
        </w:tc>
      </w:tr>
      <w:tr>
        <w:tc>
          <w:tcPr/>
          <w:p>
            <w:pPr>
              <w:pStyle w:val="Compact"/>
              <w:jc w:val="right"/>
            </w:pPr>
            <w:r>
              <w:t xml:space="preserve">3</w:t>
            </w:r>
          </w:p>
        </w:tc>
        <w:tc>
          <w:tcPr/>
          <w:p>
            <w:pPr>
              <w:pStyle w:val="Compact"/>
              <w:jc w:val="left"/>
            </w:pPr>
            <w:r>
              <w:t xml:space="preserve">Conditioning, 0.0</w:t>
            </w:r>
          </w:p>
        </w:tc>
        <w:tc>
          <w:tcPr/>
          <w:p>
            <w:pPr>
              <w:pStyle w:val="Compact"/>
              <w:jc w:val="left"/>
            </w:pPr>
            <w:r>
              <w:t xml:space="preserve">Sep. 27, 2017 - Mar. 13, 2018</w:t>
            </w:r>
          </w:p>
        </w:tc>
      </w:tr>
      <w:tr>
        <w:tc>
          <w:tcPr/>
          <w:p>
            <w:pPr>
              <w:pStyle w:val="Compact"/>
              <w:jc w:val="right"/>
            </w:pPr>
            <w:r>
              <w:t xml:space="preserve">.</w:t>
            </w:r>
          </w:p>
        </w:tc>
        <w:tc>
          <w:tcPr/>
          <w:p>
            <w:pPr>
              <w:pStyle w:val="Compact"/>
              <w:jc w:val="left"/>
            </w:pPr>
            <w:r>
              <w:t xml:space="preserve">2</w:t>
            </w:r>
          </w:p>
        </w:tc>
        <w:tc>
          <w:tcPr/>
          <w:p>
            <w:pPr>
              <w:pStyle w:val="Compact"/>
              <w:jc w:val="left"/>
            </w:pPr>
            <w:r>
              <w:t xml:space="preserve">Mar. 13, 2018 - Apr. 16, 2019</w:t>
            </w:r>
          </w:p>
        </w:tc>
      </w:tr>
      <w:tr>
        <w:tc>
          <w:tcPr/>
          <w:p>
            <w:pPr>
              <w:pStyle w:val="Compact"/>
              <w:jc w:val="right"/>
            </w:pPr>
            <w:r>
              <w:t xml:space="preserve">.</w:t>
            </w:r>
          </w:p>
        </w:tc>
        <w:tc>
          <w:tcPr/>
          <w:p>
            <w:pPr>
              <w:pStyle w:val="Compact"/>
              <w:jc w:val="left"/>
            </w:pPr>
            <w:r>
              <w:t xml:space="preserve">0.75</w:t>
            </w:r>
          </w:p>
        </w:tc>
        <w:tc>
          <w:tcPr/>
          <w:p>
            <w:pPr>
              <w:pStyle w:val="Compact"/>
              <w:jc w:val="left"/>
            </w:pPr>
            <w:r>
              <w:t xml:space="preserve">Apr. 16, 2019 onward, to date</w:t>
            </w:r>
          </w:p>
        </w:tc>
      </w:tr>
    </w:tbl>
    <w:p/>
    <w:p>
      <w:pPr>
        <w:pStyle w:val="TableCaption"/>
      </w:pPr>
      <w:r>
        <w:rPr>
          <w:bCs/>
          <w:b/>
        </w:rPr>
        <w:t xml:space="preserve">Table S2.</w:t>
      </w:r>
      <w:r>
        <w:t xml:space="preserve"> </w:t>
      </w:r>
      <w:r>
        <w:t xml:space="preserve">Total chlorine in pipe section influent (mg L</w:t>
      </w:r>
      <w:r>
        <w:rPr>
          <w:vertAlign w:val="superscript"/>
        </w:rPr>
        <w:t xml:space="preserve">-1</w:t>
      </w:r>
      <w:r>
        <w:t xml:space="preserve">).</w:t>
      </w:r>
    </w:p>
    <w:tbl>
      <w:tblPr>
        <w:tblStyle w:val="Table"/>
        <w:tblW w:type="auto" w:w="0"/>
        <w:tblLook w:firstRow="1" w:lastRow="0" w:firstColumn="0" w:lastColumn="0" w:noHBand="0" w:noVBand="0" w:val="0020"/>
        <w:tblCaption w:val="Table S2. Total chlorine in pipe section influent (mg L-1)."/>
      </w:tblPr>
      <w:tblGrid>
        <w:gridCol w:w="2640"/>
        <w:gridCol w:w="2640"/>
        <w:gridCol w:w="2640"/>
      </w:tblGrid>
      <w:tr>
        <w:trPr>
          <w:tblHeader w:val="true"/>
        </w:trPr>
        <w:tc>
          <w:tcPr/>
          <w:p>
            <w:pPr>
              <w:pStyle w:val="Compact"/>
              <w:jc w:val="left"/>
            </w:pPr>
            <w:r>
              <w:t xml:space="preserve">Period</w:t>
            </w:r>
          </w:p>
        </w:tc>
        <w:tc>
          <w:tcPr/>
          <w:p>
            <w:pPr>
              <w:pStyle w:val="Compact"/>
              <w:jc w:val="right"/>
            </w:pPr>
            <w:r>
              <w:t xml:space="preserve">Mean</w:t>
            </w:r>
          </w:p>
        </w:tc>
        <w:tc>
          <w:tcPr/>
          <w:p>
            <w:pPr>
              <w:pStyle w:val="Compact"/>
              <w:jc w:val="right"/>
            </w:pPr>
            <w:r>
              <w:t xml:space="preserve">St. Dev.</w:t>
            </w:r>
          </w:p>
        </w:tc>
      </w:tr>
      <w:tr>
        <w:tc>
          <w:tcPr/>
          <w:p>
            <w:pPr>
              <w:pStyle w:val="Compact"/>
              <w:jc w:val="left"/>
            </w:pPr>
            <w:r>
              <w:t xml:space="preserve">Before Dec. 14, 2020</w:t>
            </w:r>
          </w:p>
        </w:tc>
        <w:tc>
          <w:tcPr/>
          <w:p>
            <w:pPr>
              <w:pStyle w:val="Compact"/>
              <w:jc w:val="right"/>
            </w:pPr>
            <w:r>
              <w:t xml:space="preserve">2.120</w:t>
            </w:r>
          </w:p>
        </w:tc>
        <w:tc>
          <w:tcPr/>
          <w:p>
            <w:pPr>
              <w:pStyle w:val="Compact"/>
              <w:jc w:val="right"/>
            </w:pPr>
            <w:r>
              <w:t xml:space="preserve">0.210</w:t>
            </w:r>
          </w:p>
        </w:tc>
      </w:tr>
      <w:tr>
        <w:tc>
          <w:tcPr/>
          <w:p>
            <w:pPr>
              <w:pStyle w:val="Compact"/>
              <w:jc w:val="left"/>
            </w:pPr>
            <w:r>
              <w:t xml:space="preserve">Dec. 14, 2020 – Mar. 30, 2021</w:t>
            </w:r>
          </w:p>
        </w:tc>
        <w:tc>
          <w:tcPr/>
          <w:p>
            <w:pPr>
              <w:pStyle w:val="Compact"/>
              <w:jc w:val="right"/>
            </w:pPr>
            <w:r>
              <w:t xml:space="preserve">0.648</w:t>
            </w:r>
          </w:p>
        </w:tc>
        <w:tc>
          <w:tcPr/>
          <w:p>
            <w:pPr>
              <w:pStyle w:val="Compact"/>
              <w:jc w:val="right"/>
            </w:pPr>
            <w:r>
              <w:t xml:space="preserve">0.121</w:t>
            </w:r>
          </w:p>
        </w:tc>
      </w:tr>
      <w:tr>
        <w:tc>
          <w:tcPr/>
          <w:p>
            <w:pPr>
              <w:pStyle w:val="Compact"/>
              <w:jc w:val="left"/>
            </w:pPr>
            <w:r>
              <w:t xml:space="preserve">Mar. 31, 2021 - June 4, 2021</w:t>
            </w:r>
          </w:p>
        </w:tc>
        <w:tc>
          <w:tcPr/>
          <w:p>
            <w:pPr>
              <w:pStyle w:val="Compact"/>
              <w:jc w:val="right"/>
            </w:pPr>
            <w:r>
              <w:t xml:space="preserve">0.093</w:t>
            </w:r>
          </w:p>
        </w:tc>
        <w:tc>
          <w:tcPr/>
          <w:p>
            <w:pPr>
              <w:pStyle w:val="Compact"/>
              <w:jc w:val="right"/>
            </w:pPr>
            <w:r>
              <w:t xml:space="preserve">0.056</w:t>
            </w:r>
          </w:p>
        </w:tc>
      </w:tr>
      <w:tr>
        <w:tc>
          <w:tcPr/>
          <w:p>
            <w:pPr>
              <w:pStyle w:val="Compact"/>
              <w:jc w:val="left"/>
            </w:pPr>
            <w:r>
              <w:t xml:space="preserve">June 8 – Nov. 29, 2021</w:t>
            </w:r>
          </w:p>
        </w:tc>
        <w:tc>
          <w:tcPr/>
          <w:p>
            <w:pPr>
              <w:pStyle w:val="Compact"/>
              <w:jc w:val="right"/>
            </w:pPr>
            <w:r>
              <w:t xml:space="preserve">0.282</w:t>
            </w:r>
          </w:p>
        </w:tc>
        <w:tc>
          <w:tcPr/>
          <w:p>
            <w:pPr>
              <w:pStyle w:val="Compact"/>
              <w:jc w:val="right"/>
            </w:pPr>
            <w:r>
              <w:t xml:space="preserve">0.049</w:t>
            </w:r>
          </w:p>
        </w:tc>
      </w:tr>
    </w:tbl>
    <w:p/>
    <w:p>
      <w:pPr>
        <w:pStyle w:val="TableCaption"/>
      </w:pPr>
      <w:r>
        <w:rPr>
          <w:bCs/>
          <w:b/>
        </w:rPr>
        <w:t xml:space="preserve">Table S3.</w:t>
      </w:r>
      <w:r>
        <w:t xml:space="preserve"> </w:t>
      </w:r>
      <w:r>
        <w:t xml:space="preserve">Pipe array flow schedule; sampling occurred at T4, and FY-001, -002, and -003 are defined in Figure S1. A Modicon M221 logic controller (Schneider Electric, Canada) was used for process control. Three 2-inch ASCO 8210G100 solenoid valves (i.e., FY-001, -002 and -003) were wired to the logic controller, opening and closing according to the schedule.</w:t>
      </w:r>
    </w:p>
    <w:tbl>
      <w:tblPr>
        <w:tblStyle w:val="Table"/>
        <w:tblW w:type="pct" w:w="5000"/>
        <w:tblLook w:firstRow="1" w:lastRow="0" w:firstColumn="0" w:lastColumn="0" w:noHBand="0" w:noVBand="0" w:val="0020"/>
        <w:tblCaption w:val="Table S3. Pipe array flow schedule; sampling occurred at T4, and FY-001, -002, and -003 are defined in Figure S1. A Modicon M221 logic controller (Schneider Electric, Canada) was used for process control. Three 2-inch ASCO 8210G100 solenoid valves (i.e., FY-001, -002 and -003) were wired to the logic controller, opening and closing according to the schedule."/>
      </w:tblPr>
      <w:tblGrid>
        <w:gridCol w:w="978"/>
        <w:gridCol w:w="2491"/>
        <w:gridCol w:w="2313"/>
        <w:gridCol w:w="2135"/>
      </w:tblGrid>
      <w:tr>
        <w:trPr>
          <w:tblHeader w:val="true"/>
        </w:trPr>
        <w:tc>
          <w:tcPr/>
          <w:p>
            <w:pPr>
              <w:pStyle w:val="Compact"/>
              <w:jc w:val="left"/>
            </w:pPr>
            <w:r>
              <w:t xml:space="preserve">Time point</w:t>
            </w:r>
          </w:p>
        </w:tc>
        <w:tc>
          <w:tcPr/>
          <w:p>
            <w:pPr>
              <w:pStyle w:val="Compact"/>
              <w:jc w:val="left"/>
            </w:pPr>
            <w:r>
              <w:t xml:space="preserve">Actual time (daylight time)</w:t>
            </w:r>
          </w:p>
        </w:tc>
        <w:tc>
          <w:tcPr/>
          <w:p>
            <w:pPr>
              <w:pStyle w:val="Compact"/>
              <w:jc w:val="left"/>
            </w:pPr>
            <w:r>
              <w:t xml:space="preserve">Actual time (summer time)</w:t>
            </w:r>
          </w:p>
        </w:tc>
        <w:tc>
          <w:tcPr/>
          <w:p>
            <w:pPr>
              <w:pStyle w:val="Compact"/>
              <w:jc w:val="left"/>
            </w:pPr>
            <w:r>
              <w:t xml:space="preserve">Actions</w:t>
            </w:r>
          </w:p>
        </w:tc>
      </w:tr>
      <w:tr>
        <w:tc>
          <w:tcPr/>
          <w:p>
            <w:pPr>
              <w:pStyle w:val="Compact"/>
              <w:jc w:val="left"/>
            </w:pPr>
            <w:r>
              <w:t xml:space="preserve">T0</w:t>
            </w:r>
          </w:p>
        </w:tc>
        <w:tc>
          <w:tcPr/>
          <w:p>
            <w:pPr>
              <w:pStyle w:val="Compact"/>
              <w:jc w:val="left"/>
            </w:pPr>
            <w:r>
              <w:t xml:space="preserve">0200 hrs</w:t>
            </w:r>
          </w:p>
        </w:tc>
        <w:tc>
          <w:tcPr/>
          <w:p>
            <w:pPr>
              <w:pStyle w:val="Compact"/>
              <w:jc w:val="left"/>
            </w:pPr>
            <w:r>
              <w:t xml:space="preserve">0300 hrs</w:t>
            </w:r>
          </w:p>
        </w:tc>
        <w:tc>
          <w:tcPr/>
          <w:p>
            <w:pPr>
              <w:pStyle w:val="Compact"/>
              <w:jc w:val="left"/>
            </w:pPr>
            <w:r>
              <w:t xml:space="preserve">FY - 001, 002, 003 open</w:t>
            </w:r>
          </w:p>
        </w:tc>
      </w:tr>
      <w:tr>
        <w:tc>
          <w:tcPr/>
          <w:p>
            <w:pPr>
              <w:pStyle w:val="Compact"/>
              <w:jc w:val="left"/>
            </w:pPr>
            <w:r>
              <w:t xml:space="preserve">T1</w:t>
            </w:r>
          </w:p>
        </w:tc>
        <w:tc>
          <w:tcPr/>
          <w:p>
            <w:pPr>
              <w:pStyle w:val="Compact"/>
              <w:jc w:val="left"/>
            </w:pPr>
            <w:r>
              <w:t xml:space="preserve">0229 hrs 50 secs</w:t>
            </w:r>
          </w:p>
        </w:tc>
        <w:tc>
          <w:tcPr/>
          <w:p>
            <w:pPr>
              <w:pStyle w:val="Compact"/>
              <w:jc w:val="left"/>
            </w:pPr>
            <w:r>
              <w:t xml:space="preserve">0329 hrs 50 secs</w:t>
            </w:r>
          </w:p>
        </w:tc>
        <w:tc>
          <w:tcPr/>
          <w:p>
            <w:pPr>
              <w:pStyle w:val="Compact"/>
              <w:jc w:val="left"/>
            </w:pPr>
            <w:r>
              <w:t xml:space="preserve">FY- 001 close</w:t>
            </w:r>
          </w:p>
        </w:tc>
      </w:tr>
      <w:tr>
        <w:tc>
          <w:tcPr/>
          <w:p>
            <w:pPr>
              <w:pStyle w:val="Compact"/>
              <w:jc w:val="left"/>
            </w:pPr>
            <w:r>
              <w:t xml:space="preserve">T2</w:t>
            </w:r>
          </w:p>
        </w:tc>
        <w:tc>
          <w:tcPr/>
          <w:p>
            <w:pPr>
              <w:pStyle w:val="Compact"/>
              <w:jc w:val="left"/>
            </w:pPr>
            <w:r>
              <w:t xml:space="preserve">0230 hrs</w:t>
            </w:r>
          </w:p>
        </w:tc>
        <w:tc>
          <w:tcPr/>
          <w:p>
            <w:pPr>
              <w:pStyle w:val="Compact"/>
              <w:jc w:val="left"/>
            </w:pPr>
            <w:r>
              <w:t xml:space="preserve">0330 hrs</w:t>
            </w:r>
          </w:p>
        </w:tc>
        <w:tc>
          <w:tcPr/>
          <w:p>
            <w:pPr>
              <w:pStyle w:val="Compact"/>
              <w:jc w:val="left"/>
            </w:pPr>
            <w:r>
              <w:t xml:space="preserve">FY - 002 close</w:t>
            </w:r>
          </w:p>
        </w:tc>
      </w:tr>
      <w:tr>
        <w:tc>
          <w:tcPr/>
          <w:p>
            <w:pPr>
              <w:pStyle w:val="Compact"/>
              <w:jc w:val="left"/>
            </w:pPr>
            <w:r>
              <w:t xml:space="preserve">T3</w:t>
            </w:r>
          </w:p>
        </w:tc>
        <w:tc>
          <w:tcPr/>
          <w:p>
            <w:pPr>
              <w:pStyle w:val="Compact"/>
              <w:jc w:val="left"/>
            </w:pPr>
            <w:r>
              <w:t xml:space="preserve">0230 hrs 10 secs</w:t>
            </w:r>
          </w:p>
        </w:tc>
        <w:tc>
          <w:tcPr/>
          <w:p>
            <w:pPr>
              <w:pStyle w:val="Compact"/>
              <w:jc w:val="left"/>
            </w:pPr>
            <w:r>
              <w:t xml:space="preserve">0330 hrs 10 secs</w:t>
            </w:r>
          </w:p>
        </w:tc>
        <w:tc>
          <w:tcPr/>
          <w:p>
            <w:pPr>
              <w:pStyle w:val="Compact"/>
              <w:jc w:val="left"/>
            </w:pPr>
            <w:r>
              <w:t xml:space="preserve">FY - 003 close</w:t>
            </w:r>
          </w:p>
        </w:tc>
      </w:tr>
      <w:tr>
        <w:tc>
          <w:tcPr/>
          <w:p>
            <w:pPr>
              <w:pStyle w:val="Compact"/>
              <w:jc w:val="left"/>
            </w:pPr>
            <w:r>
              <w:t xml:space="preserve">T4</w:t>
            </w:r>
          </w:p>
        </w:tc>
        <w:tc>
          <w:tcPr/>
          <w:p>
            <w:pPr>
              <w:pStyle w:val="Compact"/>
              <w:jc w:val="left"/>
            </w:pPr>
            <w:r>
              <w:t xml:space="preserve">0830 hrs</w:t>
            </w:r>
          </w:p>
        </w:tc>
        <w:tc>
          <w:tcPr/>
          <w:p>
            <w:pPr>
              <w:pStyle w:val="Compact"/>
              <w:jc w:val="left"/>
            </w:pPr>
            <w:r>
              <w:t xml:space="preserve">0930 hrs</w:t>
            </w:r>
          </w:p>
        </w:tc>
        <w:tc>
          <w:tcPr/>
          <w:p>
            <w:pPr>
              <w:pStyle w:val="Compact"/>
              <w:jc w:val="left"/>
            </w:pPr>
            <w:r>
              <w:t xml:space="preserve">FY - 001, 002, 003 open</w:t>
            </w:r>
          </w:p>
        </w:tc>
      </w:tr>
      <w:tr>
        <w:tc>
          <w:tcPr/>
          <w:p>
            <w:pPr>
              <w:pStyle w:val="Compact"/>
              <w:jc w:val="left"/>
            </w:pPr>
            <w:r>
              <w:t xml:space="preserve">T5</w:t>
            </w:r>
          </w:p>
        </w:tc>
        <w:tc>
          <w:tcPr/>
          <w:p>
            <w:pPr>
              <w:pStyle w:val="Compact"/>
              <w:jc w:val="left"/>
            </w:pPr>
            <w:r>
              <w:t xml:space="preserve">0834 hrs 50 secs</w:t>
            </w:r>
          </w:p>
        </w:tc>
        <w:tc>
          <w:tcPr/>
          <w:p>
            <w:pPr>
              <w:pStyle w:val="Compact"/>
              <w:jc w:val="left"/>
            </w:pPr>
            <w:r>
              <w:t xml:space="preserve">0934 hrs 50 secs</w:t>
            </w:r>
          </w:p>
        </w:tc>
        <w:tc>
          <w:tcPr/>
          <w:p>
            <w:pPr>
              <w:pStyle w:val="Compact"/>
              <w:jc w:val="left"/>
            </w:pPr>
            <w:r>
              <w:t xml:space="preserve">FY-001 close</w:t>
            </w:r>
          </w:p>
        </w:tc>
      </w:tr>
      <w:tr>
        <w:tc>
          <w:tcPr/>
          <w:p>
            <w:pPr>
              <w:pStyle w:val="Compact"/>
              <w:jc w:val="left"/>
            </w:pPr>
            <w:r>
              <w:t xml:space="preserve">T6</w:t>
            </w:r>
          </w:p>
        </w:tc>
        <w:tc>
          <w:tcPr/>
          <w:p>
            <w:pPr>
              <w:pStyle w:val="Compact"/>
              <w:jc w:val="left"/>
            </w:pPr>
            <w:r>
              <w:t xml:space="preserve">0835 hrs</w:t>
            </w:r>
          </w:p>
        </w:tc>
        <w:tc>
          <w:tcPr/>
          <w:p>
            <w:pPr>
              <w:pStyle w:val="Compact"/>
              <w:jc w:val="left"/>
            </w:pPr>
            <w:r>
              <w:t xml:space="preserve">0935 hrs</w:t>
            </w:r>
          </w:p>
        </w:tc>
        <w:tc>
          <w:tcPr/>
          <w:p>
            <w:pPr>
              <w:pStyle w:val="Compact"/>
              <w:jc w:val="left"/>
            </w:pPr>
            <w:r>
              <w:t xml:space="preserve">FY-002 close</w:t>
            </w:r>
          </w:p>
        </w:tc>
      </w:tr>
      <w:tr>
        <w:tc>
          <w:tcPr/>
          <w:p>
            <w:pPr>
              <w:pStyle w:val="Compact"/>
              <w:jc w:val="left"/>
            </w:pPr>
            <w:r>
              <w:t xml:space="preserve">T7</w:t>
            </w:r>
          </w:p>
        </w:tc>
        <w:tc>
          <w:tcPr/>
          <w:p>
            <w:pPr>
              <w:pStyle w:val="Compact"/>
              <w:jc w:val="left"/>
            </w:pPr>
            <w:r>
              <w:t xml:space="preserve">0835 hrs 10 secs</w:t>
            </w:r>
          </w:p>
        </w:tc>
        <w:tc>
          <w:tcPr/>
          <w:p>
            <w:pPr>
              <w:pStyle w:val="Compact"/>
              <w:jc w:val="left"/>
            </w:pPr>
            <w:r>
              <w:t xml:space="preserve">0935 hrs 10 secs</w:t>
            </w:r>
          </w:p>
        </w:tc>
        <w:tc>
          <w:tcPr/>
          <w:p>
            <w:pPr>
              <w:pStyle w:val="Compact"/>
              <w:jc w:val="left"/>
            </w:pPr>
            <w:r>
              <w:t xml:space="preserve">FY-003 close</w:t>
            </w:r>
          </w:p>
        </w:tc>
      </w:tr>
      <w:tr>
        <w:tc>
          <w:tcPr/>
          <w:p>
            <w:pPr>
              <w:pStyle w:val="Compact"/>
              <w:jc w:val="left"/>
            </w:pPr>
            <w:r>
              <w:t xml:space="preserve">T8</w:t>
            </w:r>
          </w:p>
        </w:tc>
        <w:tc>
          <w:tcPr/>
          <w:p>
            <w:pPr>
              <w:pStyle w:val="Compact"/>
              <w:jc w:val="left"/>
            </w:pPr>
            <w:r>
              <w:t xml:space="preserve">0915 hrs</w:t>
            </w:r>
          </w:p>
        </w:tc>
        <w:tc>
          <w:tcPr/>
          <w:p>
            <w:pPr>
              <w:pStyle w:val="Compact"/>
              <w:jc w:val="left"/>
            </w:pPr>
            <w:r>
              <w:t xml:space="preserve">1015 hrs</w:t>
            </w:r>
          </w:p>
        </w:tc>
        <w:tc>
          <w:tcPr/>
          <w:p>
            <w:pPr>
              <w:pStyle w:val="Compact"/>
              <w:jc w:val="left"/>
            </w:pPr>
            <w:r>
              <w:t xml:space="preserve">FY - 001, 002, 003 open</w:t>
            </w:r>
          </w:p>
        </w:tc>
      </w:tr>
      <w:tr>
        <w:tc>
          <w:tcPr/>
          <w:p>
            <w:pPr>
              <w:pStyle w:val="Compact"/>
              <w:jc w:val="left"/>
            </w:pPr>
            <w:r>
              <w:t xml:space="preserve">T9</w:t>
            </w:r>
          </w:p>
        </w:tc>
        <w:tc>
          <w:tcPr/>
          <w:p>
            <w:pPr>
              <w:pStyle w:val="Compact"/>
              <w:jc w:val="left"/>
            </w:pPr>
            <w:r>
              <w:t xml:space="preserve">1014 hrs 50 secs</w:t>
            </w:r>
          </w:p>
        </w:tc>
        <w:tc>
          <w:tcPr/>
          <w:p>
            <w:pPr>
              <w:pStyle w:val="Compact"/>
              <w:jc w:val="left"/>
            </w:pPr>
            <w:r>
              <w:t xml:space="preserve">1114 hrs 50 secs</w:t>
            </w:r>
          </w:p>
        </w:tc>
        <w:tc>
          <w:tcPr/>
          <w:p>
            <w:pPr>
              <w:pStyle w:val="Compact"/>
              <w:jc w:val="left"/>
            </w:pPr>
            <w:r>
              <w:t xml:space="preserve">FY-001 close</w:t>
            </w:r>
          </w:p>
        </w:tc>
      </w:tr>
      <w:tr>
        <w:tc>
          <w:tcPr/>
          <w:p>
            <w:pPr>
              <w:pStyle w:val="Compact"/>
              <w:jc w:val="left"/>
            </w:pPr>
            <w:r>
              <w:t xml:space="preserve">T10</w:t>
            </w:r>
          </w:p>
        </w:tc>
        <w:tc>
          <w:tcPr/>
          <w:p>
            <w:pPr>
              <w:pStyle w:val="Compact"/>
              <w:jc w:val="left"/>
            </w:pPr>
            <w:r>
              <w:t xml:space="preserve">1015 hrs</w:t>
            </w:r>
          </w:p>
        </w:tc>
        <w:tc>
          <w:tcPr/>
          <w:p>
            <w:pPr>
              <w:pStyle w:val="Compact"/>
              <w:jc w:val="left"/>
            </w:pPr>
            <w:r>
              <w:t xml:space="preserve">115 hrs</w:t>
            </w:r>
          </w:p>
        </w:tc>
        <w:tc>
          <w:tcPr/>
          <w:p>
            <w:pPr>
              <w:pStyle w:val="Compact"/>
              <w:jc w:val="left"/>
            </w:pPr>
            <w:r>
              <w:t xml:space="preserve">FY-002 close</w:t>
            </w:r>
          </w:p>
        </w:tc>
      </w:tr>
      <w:tr>
        <w:tc>
          <w:tcPr/>
          <w:p>
            <w:pPr>
              <w:pStyle w:val="Compact"/>
              <w:jc w:val="left"/>
            </w:pPr>
            <w:r>
              <w:t xml:space="preserve">T11</w:t>
            </w:r>
          </w:p>
        </w:tc>
        <w:tc>
          <w:tcPr/>
          <w:p>
            <w:pPr>
              <w:pStyle w:val="Compact"/>
              <w:jc w:val="left"/>
            </w:pPr>
            <w:r>
              <w:t xml:space="preserve">1015 hrs 10 secs</w:t>
            </w:r>
          </w:p>
        </w:tc>
        <w:tc>
          <w:tcPr/>
          <w:p>
            <w:pPr>
              <w:pStyle w:val="Compact"/>
              <w:jc w:val="left"/>
            </w:pPr>
            <w:r>
              <w:t xml:space="preserve">1115 hrs 10 secs</w:t>
            </w:r>
          </w:p>
        </w:tc>
        <w:tc>
          <w:tcPr/>
          <w:p>
            <w:pPr>
              <w:pStyle w:val="Compact"/>
              <w:jc w:val="left"/>
            </w:pPr>
            <w:r>
              <w:t xml:space="preserve">FY-003 close</w:t>
            </w:r>
          </w:p>
        </w:tc>
      </w:tr>
      <w:tr>
        <w:tc>
          <w:tcPr/>
          <w:p>
            <w:pPr>
              <w:pStyle w:val="Compact"/>
              <w:jc w:val="left"/>
            </w:pPr>
            <w:r>
              <w:t xml:space="preserve">T12</w:t>
            </w:r>
          </w:p>
        </w:tc>
        <w:tc>
          <w:tcPr/>
          <w:p>
            <w:pPr>
              <w:pStyle w:val="Compact"/>
              <w:jc w:val="left"/>
            </w:pPr>
            <w:r>
              <w:t xml:space="preserve">1230 hrs</w:t>
            </w:r>
          </w:p>
        </w:tc>
        <w:tc>
          <w:tcPr/>
          <w:p>
            <w:pPr>
              <w:pStyle w:val="Compact"/>
              <w:jc w:val="left"/>
            </w:pPr>
            <w:r>
              <w:t xml:space="preserve">1330 hrs</w:t>
            </w:r>
          </w:p>
        </w:tc>
        <w:tc>
          <w:tcPr/>
          <w:p>
            <w:pPr>
              <w:pStyle w:val="Compact"/>
              <w:jc w:val="left"/>
            </w:pPr>
            <w:r>
              <w:t xml:space="preserve">FY - 001, 002, 003 open</w:t>
            </w:r>
          </w:p>
        </w:tc>
      </w:tr>
      <w:tr>
        <w:tc>
          <w:tcPr/>
          <w:p>
            <w:pPr>
              <w:pStyle w:val="Compact"/>
              <w:jc w:val="left"/>
            </w:pPr>
            <w:r>
              <w:t xml:space="preserve">T13</w:t>
            </w:r>
          </w:p>
        </w:tc>
        <w:tc>
          <w:tcPr/>
          <w:p>
            <w:pPr>
              <w:pStyle w:val="Compact"/>
              <w:jc w:val="left"/>
            </w:pPr>
            <w:r>
              <w:t xml:space="preserve">1329 hrs 50 secs</w:t>
            </w:r>
          </w:p>
        </w:tc>
        <w:tc>
          <w:tcPr/>
          <w:p>
            <w:pPr>
              <w:pStyle w:val="Compact"/>
              <w:jc w:val="left"/>
            </w:pPr>
            <w:r>
              <w:t xml:space="preserve">1429 hrs 50 secs</w:t>
            </w:r>
          </w:p>
        </w:tc>
        <w:tc>
          <w:tcPr/>
          <w:p>
            <w:pPr>
              <w:pStyle w:val="Compact"/>
              <w:jc w:val="left"/>
            </w:pPr>
            <w:r>
              <w:t xml:space="preserve">FY-001 close</w:t>
            </w:r>
          </w:p>
        </w:tc>
      </w:tr>
      <w:tr>
        <w:tc>
          <w:tcPr/>
          <w:p>
            <w:pPr>
              <w:pStyle w:val="Compact"/>
              <w:jc w:val="left"/>
            </w:pPr>
            <w:r>
              <w:t xml:space="preserve">T14</w:t>
            </w:r>
          </w:p>
        </w:tc>
        <w:tc>
          <w:tcPr/>
          <w:p>
            <w:pPr>
              <w:pStyle w:val="Compact"/>
              <w:jc w:val="left"/>
            </w:pPr>
            <w:r>
              <w:t xml:space="preserve">1330 hrs</w:t>
            </w:r>
          </w:p>
        </w:tc>
        <w:tc>
          <w:tcPr/>
          <w:p>
            <w:pPr>
              <w:pStyle w:val="Compact"/>
              <w:jc w:val="left"/>
            </w:pPr>
            <w:r>
              <w:t xml:space="preserve">1430 hrs</w:t>
            </w:r>
          </w:p>
        </w:tc>
        <w:tc>
          <w:tcPr/>
          <w:p>
            <w:pPr>
              <w:pStyle w:val="Compact"/>
              <w:jc w:val="left"/>
            </w:pPr>
            <w:r>
              <w:t xml:space="preserve">FY-002 close</w:t>
            </w:r>
          </w:p>
        </w:tc>
      </w:tr>
      <w:tr>
        <w:tc>
          <w:tcPr/>
          <w:p>
            <w:pPr>
              <w:pStyle w:val="Compact"/>
              <w:jc w:val="left"/>
            </w:pPr>
            <w:r>
              <w:t xml:space="preserve">T15</w:t>
            </w:r>
          </w:p>
        </w:tc>
        <w:tc>
          <w:tcPr/>
          <w:p>
            <w:pPr>
              <w:pStyle w:val="Compact"/>
              <w:jc w:val="left"/>
            </w:pPr>
            <w:r>
              <w:t xml:space="preserve">1330 hrs 10 secs</w:t>
            </w:r>
          </w:p>
        </w:tc>
        <w:tc>
          <w:tcPr/>
          <w:p>
            <w:pPr>
              <w:pStyle w:val="Compact"/>
              <w:jc w:val="left"/>
            </w:pPr>
            <w:r>
              <w:t xml:space="preserve">1430 hrs 10 secs</w:t>
            </w:r>
          </w:p>
        </w:tc>
        <w:tc>
          <w:tcPr/>
          <w:p>
            <w:pPr>
              <w:pStyle w:val="Compact"/>
              <w:jc w:val="left"/>
            </w:pPr>
            <w:r>
              <w:t xml:space="preserve">FY-003 close</w:t>
            </w:r>
          </w:p>
        </w:tc>
      </w:tr>
      <w:tr>
        <w:tc>
          <w:tcPr/>
          <w:p>
            <w:pPr>
              <w:pStyle w:val="Compact"/>
              <w:jc w:val="left"/>
            </w:pPr>
            <w:r>
              <w:t xml:space="preserve">T16</w:t>
            </w:r>
          </w:p>
        </w:tc>
        <w:tc>
          <w:tcPr/>
          <w:p>
            <w:pPr>
              <w:pStyle w:val="Compact"/>
              <w:jc w:val="left"/>
            </w:pPr>
            <w:r>
              <w:t xml:space="preserve">1730 hrs</w:t>
            </w:r>
          </w:p>
        </w:tc>
        <w:tc>
          <w:tcPr/>
          <w:p>
            <w:pPr>
              <w:pStyle w:val="Compact"/>
              <w:jc w:val="left"/>
            </w:pPr>
            <w:r>
              <w:t xml:space="preserve">1830 hrs</w:t>
            </w:r>
          </w:p>
        </w:tc>
        <w:tc>
          <w:tcPr/>
          <w:p>
            <w:pPr>
              <w:pStyle w:val="Compact"/>
              <w:jc w:val="left"/>
            </w:pPr>
            <w:r>
              <w:t xml:space="preserve">FY - 001, 002, 003 open</w:t>
            </w:r>
          </w:p>
        </w:tc>
      </w:tr>
      <w:tr>
        <w:tc>
          <w:tcPr/>
          <w:p>
            <w:pPr>
              <w:pStyle w:val="Compact"/>
              <w:jc w:val="left"/>
            </w:pPr>
            <w:r>
              <w:t xml:space="preserve">T17</w:t>
            </w:r>
          </w:p>
        </w:tc>
        <w:tc>
          <w:tcPr/>
          <w:p>
            <w:pPr>
              <w:pStyle w:val="Compact"/>
              <w:jc w:val="left"/>
            </w:pPr>
            <w:r>
              <w:t xml:space="preserve">1929 hrs 50 secs</w:t>
            </w:r>
          </w:p>
        </w:tc>
        <w:tc>
          <w:tcPr/>
          <w:p>
            <w:pPr>
              <w:pStyle w:val="Compact"/>
              <w:jc w:val="left"/>
            </w:pPr>
            <w:r>
              <w:t xml:space="preserve">2029 hrs 50 secs</w:t>
            </w:r>
          </w:p>
        </w:tc>
        <w:tc>
          <w:tcPr/>
          <w:p>
            <w:pPr>
              <w:pStyle w:val="Compact"/>
              <w:jc w:val="left"/>
            </w:pPr>
            <w:r>
              <w:t xml:space="preserve">FY-001 close</w:t>
            </w:r>
          </w:p>
        </w:tc>
      </w:tr>
      <w:tr>
        <w:tc>
          <w:tcPr/>
          <w:p>
            <w:pPr>
              <w:pStyle w:val="Compact"/>
              <w:jc w:val="left"/>
            </w:pPr>
            <w:r>
              <w:t xml:space="preserve">T18</w:t>
            </w:r>
          </w:p>
        </w:tc>
        <w:tc>
          <w:tcPr/>
          <w:p>
            <w:pPr>
              <w:pStyle w:val="Compact"/>
              <w:jc w:val="left"/>
            </w:pPr>
            <w:r>
              <w:t xml:space="preserve">1930 hrs</w:t>
            </w:r>
          </w:p>
        </w:tc>
        <w:tc>
          <w:tcPr/>
          <w:p>
            <w:pPr>
              <w:pStyle w:val="Compact"/>
              <w:jc w:val="left"/>
            </w:pPr>
            <w:r>
              <w:t xml:space="preserve">2030 hrs</w:t>
            </w:r>
          </w:p>
        </w:tc>
        <w:tc>
          <w:tcPr/>
          <w:p>
            <w:pPr>
              <w:pStyle w:val="Compact"/>
              <w:jc w:val="left"/>
            </w:pPr>
            <w:r>
              <w:t xml:space="preserve">FY-002 close</w:t>
            </w:r>
          </w:p>
        </w:tc>
      </w:tr>
      <w:tr>
        <w:tc>
          <w:tcPr/>
          <w:p>
            <w:pPr>
              <w:pStyle w:val="Compact"/>
              <w:jc w:val="left"/>
            </w:pPr>
            <w:r>
              <w:t xml:space="preserve">T19</w:t>
            </w:r>
          </w:p>
        </w:tc>
        <w:tc>
          <w:tcPr/>
          <w:p>
            <w:pPr>
              <w:pStyle w:val="Compact"/>
              <w:jc w:val="left"/>
            </w:pPr>
            <w:r>
              <w:t xml:space="preserve">1930 hrs 10 sec</w:t>
            </w:r>
          </w:p>
        </w:tc>
        <w:tc>
          <w:tcPr/>
          <w:p>
            <w:pPr>
              <w:pStyle w:val="Compact"/>
              <w:jc w:val="left"/>
            </w:pPr>
            <w:r>
              <w:t xml:space="preserve">2030 hrs 10 sec</w:t>
            </w:r>
          </w:p>
        </w:tc>
        <w:tc>
          <w:tcPr/>
          <w:p>
            <w:pPr>
              <w:pStyle w:val="Compact"/>
              <w:jc w:val="left"/>
            </w:pPr>
            <w:r>
              <w:t xml:space="preserve">FY-003 close</w:t>
            </w:r>
          </w:p>
        </w:tc>
      </w:tr>
      <w:tr>
        <w:tc>
          <w:tcPr/>
          <w:p>
            <w:pPr>
              <w:pStyle w:val="Compact"/>
              <w:jc w:val="left"/>
            </w:pPr>
            <w:r>
              <w:t xml:space="preserve">T20</w:t>
            </w:r>
          </w:p>
        </w:tc>
        <w:tc>
          <w:tcPr/>
          <w:p>
            <w:pPr>
              <w:pStyle w:val="Compact"/>
              <w:jc w:val="left"/>
            </w:pPr>
            <w:r>
              <w:t xml:space="preserve">2330 hrs</w:t>
            </w:r>
          </w:p>
        </w:tc>
        <w:tc>
          <w:tcPr/>
          <w:p>
            <w:pPr>
              <w:pStyle w:val="Compact"/>
              <w:jc w:val="left"/>
            </w:pPr>
            <w:r>
              <w:t xml:space="preserve">0030 hrs</w:t>
            </w:r>
          </w:p>
        </w:tc>
        <w:tc>
          <w:tcPr/>
          <w:p>
            <w:pPr>
              <w:pStyle w:val="Compact"/>
              <w:jc w:val="left"/>
            </w:pPr>
            <w:r>
              <w:t xml:space="preserve">FY - 001, 002, 003 open</w:t>
            </w:r>
          </w:p>
        </w:tc>
      </w:tr>
      <w:tr>
        <w:tc>
          <w:tcPr/>
          <w:p>
            <w:pPr>
              <w:pStyle w:val="Compact"/>
              <w:jc w:val="left"/>
            </w:pPr>
            <w:r>
              <w:t xml:space="preserve">T21</w:t>
            </w:r>
          </w:p>
        </w:tc>
        <w:tc>
          <w:tcPr/>
          <w:p>
            <w:pPr>
              <w:pStyle w:val="Compact"/>
              <w:jc w:val="left"/>
            </w:pPr>
            <w:r>
              <w:t xml:space="preserve">2359 hrs 50 secs</w:t>
            </w:r>
          </w:p>
        </w:tc>
        <w:tc>
          <w:tcPr/>
          <w:p>
            <w:pPr>
              <w:pStyle w:val="Compact"/>
              <w:jc w:val="left"/>
            </w:pPr>
            <w:r>
              <w:t xml:space="preserve">0059 hrs 50 secs</w:t>
            </w:r>
          </w:p>
        </w:tc>
        <w:tc>
          <w:tcPr/>
          <w:p>
            <w:pPr>
              <w:pStyle w:val="Compact"/>
              <w:jc w:val="left"/>
            </w:pPr>
            <w:r>
              <w:t xml:space="preserve">FY-001 close</w:t>
            </w:r>
          </w:p>
        </w:tc>
      </w:tr>
      <w:tr>
        <w:tc>
          <w:tcPr/>
          <w:p>
            <w:pPr>
              <w:pStyle w:val="Compact"/>
              <w:jc w:val="left"/>
            </w:pPr>
            <w:r>
              <w:t xml:space="preserve">T22</w:t>
            </w:r>
          </w:p>
        </w:tc>
        <w:tc>
          <w:tcPr/>
          <w:p>
            <w:pPr>
              <w:pStyle w:val="Compact"/>
              <w:jc w:val="left"/>
            </w:pPr>
            <w:r>
              <w:t xml:space="preserve">0000 hrs</w:t>
            </w:r>
          </w:p>
        </w:tc>
        <w:tc>
          <w:tcPr/>
          <w:p>
            <w:pPr>
              <w:pStyle w:val="Compact"/>
              <w:jc w:val="left"/>
            </w:pPr>
            <w:r>
              <w:t xml:space="preserve">0100 hrs</w:t>
            </w:r>
          </w:p>
        </w:tc>
        <w:tc>
          <w:tcPr/>
          <w:p>
            <w:pPr>
              <w:pStyle w:val="Compact"/>
              <w:jc w:val="left"/>
            </w:pPr>
            <w:r>
              <w:t xml:space="preserve">FY-002 close</w:t>
            </w:r>
          </w:p>
        </w:tc>
      </w:tr>
      <w:tr>
        <w:tc>
          <w:tcPr/>
          <w:p>
            <w:pPr>
              <w:pStyle w:val="Compact"/>
              <w:jc w:val="left"/>
            </w:pPr>
            <w:r>
              <w:t xml:space="preserve">T23</w:t>
            </w:r>
          </w:p>
        </w:tc>
        <w:tc>
          <w:tcPr/>
          <w:p>
            <w:pPr>
              <w:pStyle w:val="Compact"/>
              <w:jc w:val="left"/>
            </w:pPr>
            <w:r>
              <w:t xml:space="preserve">0000 hrs 10 secs</w:t>
            </w:r>
          </w:p>
        </w:tc>
        <w:tc>
          <w:tcPr/>
          <w:p>
            <w:pPr>
              <w:pStyle w:val="Compact"/>
              <w:jc w:val="left"/>
            </w:pPr>
            <w:r>
              <w:t xml:space="preserve">0100 hrs 10 secs</w:t>
            </w:r>
          </w:p>
        </w:tc>
        <w:tc>
          <w:tcPr/>
          <w:p>
            <w:pPr>
              <w:pStyle w:val="Compact"/>
              <w:jc w:val="left"/>
            </w:pPr>
            <w:r>
              <w:t xml:space="preserve">FY-003 close</w:t>
            </w:r>
          </w:p>
        </w:tc>
      </w:tr>
    </w:tbl>
    <w:p/>
    <w:p>
      <w:pPr>
        <w:pStyle w:val="TableCaption"/>
      </w:pPr>
      <w:r>
        <w:rPr>
          <w:bCs/>
          <w:b/>
        </w:rPr>
        <w:t xml:space="preserve">Table S4.</w:t>
      </w:r>
      <w:r>
        <w:t xml:space="preserve"> </w:t>
      </w:r>
      <w:r>
        <w:t xml:space="preserve">Water quality summary.</w:t>
      </w:r>
    </w:p>
    <w:tbl>
      <w:tblPr>
        <w:tblStyle w:val="Table"/>
        <w:tblW w:type="pct" w:w="5000"/>
        <w:tblLook w:firstRow="1" w:lastRow="0" w:firstColumn="0" w:lastColumn="0" w:noHBand="0" w:noVBand="0" w:val="0020"/>
        <w:tblCaption w:val="Table S4. Water quality summary."/>
      </w:tblPr>
      <w:tblGrid>
        <w:gridCol w:w="1496"/>
        <w:gridCol w:w="880"/>
        <w:gridCol w:w="792"/>
        <w:gridCol w:w="1232"/>
        <w:gridCol w:w="792"/>
        <w:gridCol w:w="1144"/>
        <w:gridCol w:w="1144"/>
        <w:gridCol w:w="440"/>
      </w:tblGrid>
      <w:tr>
        <w:trPr>
          <w:tblHeader w:val="true"/>
        </w:trPr>
        <w:tc>
          <w:tcPr/>
          <w:p>
            <w:pPr>
              <w:pStyle w:val="Compact"/>
              <w:jc w:val="left"/>
            </w:pPr>
            <w:r>
              <w:t xml:space="preserve">Analyte</w:t>
            </w:r>
          </w:p>
        </w:tc>
        <w:tc>
          <w:tcPr/>
          <w:p>
            <w:pPr>
              <w:pStyle w:val="Compact"/>
              <w:jc w:val="left"/>
            </w:pPr>
            <w:r>
              <w:t xml:space="preserve">Units</w:t>
            </w:r>
          </w:p>
        </w:tc>
        <w:tc>
          <w:tcPr/>
          <w:p>
            <w:pPr>
              <w:pStyle w:val="Compact"/>
              <w:jc w:val="left"/>
            </w:pPr>
            <w:r>
              <w:t xml:space="preserve">Location</w:t>
            </w:r>
          </w:p>
        </w:tc>
        <w:tc>
          <w:tcPr/>
          <w:p>
            <w:pPr>
              <w:pStyle w:val="Compact"/>
              <w:jc w:val="left"/>
            </w:pPr>
            <w:r>
              <w:t xml:space="preserve">Period</w:t>
            </w:r>
          </w:p>
        </w:tc>
        <w:tc>
          <w:tcPr/>
          <w:p>
            <w:pPr>
              <w:pStyle w:val="Compact"/>
              <w:jc w:val="right"/>
            </w:pPr>
            <w:r>
              <w:t xml:space="preserve">Median</w:t>
            </w:r>
          </w:p>
        </w:tc>
        <w:tc>
          <w:tcPr/>
          <w:p>
            <w:pPr>
              <w:pStyle w:val="Compact"/>
              <w:jc w:val="right"/>
            </w:pPr>
            <w:r>
              <w:t xml:space="preserve">1st quartile</w:t>
            </w:r>
          </w:p>
        </w:tc>
        <w:tc>
          <w:tcPr/>
          <w:p>
            <w:pPr>
              <w:pStyle w:val="Compact"/>
              <w:jc w:val="right"/>
            </w:pPr>
            <w:r>
              <w:t xml:space="preserve">3rd quartile</w:t>
            </w:r>
          </w:p>
        </w:tc>
        <w:tc>
          <w:tcPr/>
          <w:p>
            <w:pPr>
              <w:pStyle w:val="Compact"/>
              <w:jc w:val="right"/>
            </w:pPr>
            <w:r>
              <w:t xml:space="preserve">N</w:t>
            </w:r>
          </w:p>
        </w:tc>
      </w:tr>
      <w:tr>
        <w:tc>
          <w:tcPr/>
          <w:p>
            <w:pPr>
              <w:pStyle w:val="Compact"/>
              <w:jc w:val="left"/>
            </w:pPr>
            <w:r>
              <w:t xml:space="preserve">Alkalinity</w:t>
            </w:r>
          </w:p>
        </w:tc>
        <w:tc>
          <w:tcPr/>
          <w:p>
            <w:pPr>
              <w:pStyle w:val="Compact"/>
              <w:jc w:val="left"/>
            </w:pPr>
            <w:r>
              <w:t xml:space="preserve">mg/L</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123.0000</w:t>
            </w:r>
          </w:p>
        </w:tc>
        <w:tc>
          <w:tcPr/>
          <w:p>
            <w:pPr>
              <w:pStyle w:val="Compact"/>
              <w:jc w:val="right"/>
            </w:pPr>
            <w:r>
              <w:t xml:space="preserve">114.0000</w:t>
            </w:r>
          </w:p>
        </w:tc>
        <w:tc>
          <w:tcPr/>
          <w:p>
            <w:pPr>
              <w:pStyle w:val="Compact"/>
              <w:jc w:val="right"/>
            </w:pPr>
            <w:r>
              <w:t xml:space="preserve">131.000</w:t>
            </w:r>
          </w:p>
        </w:tc>
        <w:tc>
          <w:tcPr/>
          <w:p>
            <w:pPr>
              <w:pStyle w:val="Compact"/>
              <w:jc w:val="right"/>
            </w:pPr>
            <w:r>
              <w:t xml:space="preserve">1520</w:t>
            </w:r>
          </w:p>
        </w:tc>
      </w:tr>
      <w:tr>
        <w:tc>
          <w:tcPr/>
          <w:p>
            <w:pPr>
              <w:pStyle w:val="Compact"/>
              <w:jc w:val="left"/>
            </w:pPr>
            <w:r>
              <w:t xml:space="preserve">Aluminum</w:t>
            </w:r>
          </w:p>
        </w:tc>
        <w:tc>
          <w:tcPr/>
          <w:p>
            <w:pPr>
              <w:pStyle w:val="Compact"/>
              <w:jc w:val="left"/>
            </w:pPr>
            <w:r>
              <w:t xml:space="preserve">mg/L</w:t>
            </w:r>
          </w:p>
        </w:tc>
        <w:tc>
          <w:tcPr/>
          <w:p>
            <w:pPr>
              <w:pStyle w:val="Compact"/>
              <w:jc w:val="left"/>
            </w:pPr>
            <w:r>
              <w:t xml:space="preserve">LP[1-3]A</w:t>
            </w:r>
          </w:p>
        </w:tc>
        <w:tc>
          <w:tcPr/>
          <w:p>
            <w:pPr>
              <w:pStyle w:val="Compact"/>
              <w:jc w:val="left"/>
            </w:pPr>
            <w:r>
              <w:t xml:space="preserve">Comprehensive</w:t>
            </w:r>
          </w:p>
        </w:tc>
        <w:tc>
          <w:tcPr/>
          <w:p>
            <w:pPr>
              <w:pStyle w:val="Compact"/>
              <w:jc w:val="right"/>
            </w:pPr>
            <w:r>
              <w:t xml:space="preserve">0.0490</w:t>
            </w:r>
          </w:p>
        </w:tc>
        <w:tc>
          <w:tcPr/>
          <w:p>
            <w:pPr>
              <w:pStyle w:val="Compact"/>
              <w:jc w:val="right"/>
            </w:pPr>
            <w:r>
              <w:t xml:space="preserve">0.0270</w:t>
            </w:r>
          </w:p>
        </w:tc>
        <w:tc>
          <w:tcPr/>
          <w:p>
            <w:pPr>
              <w:pStyle w:val="Compact"/>
              <w:jc w:val="right"/>
            </w:pPr>
            <w:r>
              <w:t xml:space="preserve">0.081</w:t>
            </w:r>
          </w:p>
        </w:tc>
        <w:tc>
          <w:tcPr/>
          <w:p>
            <w:pPr>
              <w:pStyle w:val="Compact"/>
              <w:jc w:val="right"/>
            </w:pPr>
            <w:r>
              <w:t xml:space="preserve">549</w:t>
            </w:r>
          </w:p>
        </w:tc>
      </w:tr>
      <w:tr>
        <w:tc>
          <w:tcPr/>
          <w:p>
            <w:pPr>
              <w:pStyle w:val="Compact"/>
              <w:jc w:val="left"/>
            </w:pPr>
            <w:r>
              <w:t xml:space="preserve">Colour</w:t>
            </w:r>
          </w:p>
        </w:tc>
        <w:tc>
          <w:tcPr/>
          <w:p>
            <w:pPr>
              <w:pStyle w:val="Compact"/>
              <w:jc w:val="left"/>
            </w:pPr>
            <w:r>
              <w:t xml:space="preserve">TCU</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0.8930</w:t>
            </w:r>
          </w:p>
        </w:tc>
        <w:tc>
          <w:tcPr/>
          <w:p>
            <w:pPr>
              <w:pStyle w:val="Compact"/>
              <w:jc w:val="right"/>
            </w:pPr>
            <w:r>
              <w:t xml:space="preserve">0.6710</w:t>
            </w:r>
          </w:p>
        </w:tc>
        <w:tc>
          <w:tcPr/>
          <w:p>
            <w:pPr>
              <w:pStyle w:val="Compact"/>
              <w:jc w:val="right"/>
            </w:pPr>
            <w:r>
              <w:t xml:space="preserve">1.160</w:t>
            </w:r>
          </w:p>
        </w:tc>
        <w:tc>
          <w:tcPr/>
          <w:p>
            <w:pPr>
              <w:pStyle w:val="Compact"/>
              <w:jc w:val="right"/>
            </w:pPr>
            <w:r>
              <w:t xml:space="preserve">1520</w:t>
            </w:r>
          </w:p>
        </w:tc>
      </w:tr>
      <w:tr>
        <w:tc>
          <w:tcPr/>
          <w:p>
            <w:pPr>
              <w:pStyle w:val="Compact"/>
              <w:jc w:val="left"/>
            </w:pPr>
            <w:r>
              <w:t xml:space="preserve">Conductivity</w:t>
            </w:r>
          </w:p>
        </w:tc>
        <w:tc>
          <w:tcPr/>
          <w:p>
            <w:pPr>
              <w:pStyle w:val="Compact"/>
              <w:jc w:val="left"/>
            </w:pPr>
            <w:r>
              <w:t xml:space="preserve">µmho</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387.0000</w:t>
            </w:r>
          </w:p>
        </w:tc>
        <w:tc>
          <w:tcPr/>
          <w:p>
            <w:pPr>
              <w:pStyle w:val="Compact"/>
              <w:jc w:val="right"/>
            </w:pPr>
            <w:r>
              <w:t xml:space="preserve">367.0000</w:t>
            </w:r>
          </w:p>
        </w:tc>
        <w:tc>
          <w:tcPr/>
          <w:p>
            <w:pPr>
              <w:pStyle w:val="Compact"/>
              <w:jc w:val="right"/>
            </w:pPr>
            <w:r>
              <w:t xml:space="preserve">408.000</w:t>
            </w:r>
          </w:p>
        </w:tc>
        <w:tc>
          <w:tcPr/>
          <w:p>
            <w:pPr>
              <w:pStyle w:val="Compact"/>
              <w:jc w:val="right"/>
            </w:pPr>
            <w:r>
              <w:t xml:space="preserve">1520</w:t>
            </w:r>
          </w:p>
        </w:tc>
      </w:tr>
      <w:tr>
        <w:tc>
          <w:tcPr/>
          <w:p>
            <w:pPr>
              <w:pStyle w:val="Compact"/>
              <w:jc w:val="left"/>
            </w:pPr>
            <w:r>
              <w:t xml:space="preserve">Fluoride</w:t>
            </w:r>
          </w:p>
        </w:tc>
        <w:tc>
          <w:tcPr/>
          <w:p>
            <w:pPr>
              <w:pStyle w:val="Compact"/>
              <w:jc w:val="left"/>
            </w:pPr>
            <w:r>
              <w:t xml:space="preserve">mg/L</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0.6610</w:t>
            </w:r>
          </w:p>
        </w:tc>
        <w:tc>
          <w:tcPr/>
          <w:p>
            <w:pPr>
              <w:pStyle w:val="Compact"/>
              <w:jc w:val="right"/>
            </w:pPr>
            <w:r>
              <w:t xml:space="preserve">0.1200</w:t>
            </w:r>
          </w:p>
        </w:tc>
        <w:tc>
          <w:tcPr/>
          <w:p>
            <w:pPr>
              <w:pStyle w:val="Compact"/>
              <w:jc w:val="right"/>
            </w:pPr>
            <w:r>
              <w:t xml:space="preserve">0.690</w:t>
            </w:r>
          </w:p>
        </w:tc>
        <w:tc>
          <w:tcPr/>
          <w:p>
            <w:pPr>
              <w:pStyle w:val="Compact"/>
              <w:jc w:val="right"/>
            </w:pPr>
            <w:r>
              <w:t xml:space="preserve">1520</w:t>
            </w:r>
          </w:p>
        </w:tc>
      </w:tr>
      <w:tr>
        <w:tc>
          <w:tcPr/>
          <w:p>
            <w:pPr>
              <w:pStyle w:val="Compact"/>
              <w:jc w:val="left"/>
            </w:pPr>
            <w:r>
              <w:t xml:space="preserve">Manganese</w:t>
            </w:r>
          </w:p>
        </w:tc>
        <w:tc>
          <w:tcPr/>
          <w:p>
            <w:pPr>
              <w:pStyle w:val="Compact"/>
              <w:jc w:val="left"/>
            </w:pPr>
            <w:r>
              <w:t xml:space="preserve">mg/L</w:t>
            </w:r>
          </w:p>
        </w:tc>
        <w:tc>
          <w:tcPr/>
          <w:p>
            <w:pPr>
              <w:pStyle w:val="Compact"/>
              <w:jc w:val="left"/>
            </w:pPr>
            <w:r>
              <w:t xml:space="preserve">LP[1-3]A</w:t>
            </w:r>
          </w:p>
        </w:tc>
        <w:tc>
          <w:tcPr/>
          <w:p>
            <w:pPr>
              <w:pStyle w:val="Compact"/>
              <w:jc w:val="left"/>
            </w:pPr>
            <w:r>
              <w:t xml:space="preserve">Comprehensive</w:t>
            </w:r>
          </w:p>
        </w:tc>
        <w:tc>
          <w:tcPr/>
          <w:p>
            <w:pPr>
              <w:pStyle w:val="Compact"/>
              <w:jc w:val="right"/>
            </w:pPr>
            <w:r>
              <w:t xml:space="preserve">0.0050</w:t>
            </w:r>
          </w:p>
        </w:tc>
        <w:tc>
          <w:tcPr/>
          <w:p>
            <w:pPr>
              <w:pStyle w:val="Compact"/>
              <w:jc w:val="right"/>
            </w:pPr>
            <w:r>
              <w:t xml:space="preserve">0.0030</w:t>
            </w:r>
          </w:p>
        </w:tc>
        <w:tc>
          <w:tcPr/>
          <w:p>
            <w:pPr>
              <w:pStyle w:val="Compact"/>
              <w:jc w:val="right"/>
            </w:pPr>
            <w:r>
              <w:t xml:space="preserve">0.007</w:t>
            </w:r>
          </w:p>
        </w:tc>
        <w:tc>
          <w:tcPr/>
          <w:p>
            <w:pPr>
              <w:pStyle w:val="Compact"/>
              <w:jc w:val="right"/>
            </w:pPr>
            <w:r>
              <w:t xml:space="preserve">551</w:t>
            </w:r>
          </w:p>
        </w:tc>
      </w:tr>
      <w:tr>
        <w:tc>
          <w:tcPr/>
          <w:p>
            <w:pPr>
              <w:pStyle w:val="Compact"/>
              <w:jc w:val="left"/>
            </w:pPr>
            <w:r>
              <w:t xml:space="preserve">Ortho-P Residual</w:t>
            </w:r>
          </w:p>
        </w:tc>
        <w:tc>
          <w:tcPr/>
          <w:p>
            <w:pPr>
              <w:pStyle w:val="Compact"/>
              <w:jc w:val="left"/>
            </w:pPr>
            <w:r>
              <w:t xml:space="preserve">mg/L as P</w:t>
            </w:r>
          </w:p>
        </w:tc>
        <w:tc>
          <w:tcPr/>
          <w:p>
            <w:pPr>
              <w:pStyle w:val="Compact"/>
              <w:jc w:val="left"/>
            </w:pPr>
            <w:r>
              <w:t xml:space="preserve">LP1A</w:t>
            </w:r>
          </w:p>
        </w:tc>
        <w:tc>
          <w:tcPr/>
          <w:p>
            <w:pPr>
              <w:pStyle w:val="Compact"/>
              <w:jc w:val="left"/>
            </w:pPr>
            <w:r>
              <w:t xml:space="preserve">Comprehensive</w:t>
            </w:r>
          </w:p>
        </w:tc>
        <w:tc>
          <w:tcPr/>
          <w:p>
            <w:pPr>
              <w:pStyle w:val="Compact"/>
              <w:jc w:val="right"/>
            </w:pPr>
            <w:r>
              <w:t xml:space="preserve">0.4900</w:t>
            </w:r>
          </w:p>
        </w:tc>
        <w:tc>
          <w:tcPr/>
          <w:p>
            <w:pPr>
              <w:pStyle w:val="Compact"/>
              <w:jc w:val="right"/>
            </w:pPr>
            <w:r>
              <w:t xml:space="preserve">0.4600</w:t>
            </w:r>
          </w:p>
        </w:tc>
        <w:tc>
          <w:tcPr/>
          <w:p>
            <w:pPr>
              <w:pStyle w:val="Compact"/>
              <w:jc w:val="right"/>
            </w:pPr>
            <w:r>
              <w:t xml:space="preserve">0.520</w:t>
            </w:r>
          </w:p>
        </w:tc>
        <w:tc>
          <w:tcPr/>
          <w:p>
            <w:pPr>
              <w:pStyle w:val="Compact"/>
              <w:jc w:val="right"/>
            </w:pPr>
            <w:r>
              <w:t xml:space="preserve">142</w:t>
            </w:r>
          </w:p>
        </w:tc>
      </w:tr>
      <w:tr>
        <w:tc>
          <w:tcPr/>
          <w:p>
            <w:pPr>
              <w:pStyle w:val="Compact"/>
              <w:jc w:val="left"/>
            </w:pPr>
            <w:r>
              <w:t xml:space="preserve">Ortho-P Residual</w:t>
            </w:r>
          </w:p>
        </w:tc>
        <w:tc>
          <w:tcPr/>
          <w:p>
            <w:pPr>
              <w:pStyle w:val="Compact"/>
              <w:jc w:val="left"/>
            </w:pPr>
            <w:r>
              <w:t xml:space="preserve">mg/L as P</w:t>
            </w:r>
          </w:p>
        </w:tc>
        <w:tc>
          <w:tcPr/>
          <w:p>
            <w:pPr>
              <w:pStyle w:val="Compact"/>
              <w:jc w:val="left"/>
            </w:pPr>
            <w:r>
              <w:t xml:space="preserve">LP2A</w:t>
            </w:r>
          </w:p>
        </w:tc>
        <w:tc>
          <w:tcPr/>
          <w:p>
            <w:pPr>
              <w:pStyle w:val="Compact"/>
              <w:jc w:val="left"/>
            </w:pPr>
            <w:r>
              <w:t xml:space="preserve">Comprehensive</w:t>
            </w:r>
          </w:p>
        </w:tc>
        <w:tc>
          <w:tcPr/>
          <w:p>
            <w:pPr>
              <w:pStyle w:val="Compact"/>
              <w:jc w:val="right"/>
            </w:pPr>
            <w:r>
              <w:t xml:space="preserve">0.9400</w:t>
            </w:r>
          </w:p>
        </w:tc>
        <w:tc>
          <w:tcPr/>
          <w:p>
            <w:pPr>
              <w:pStyle w:val="Compact"/>
              <w:jc w:val="right"/>
            </w:pPr>
            <w:r>
              <w:t xml:space="preserve">0.8700</w:t>
            </w:r>
          </w:p>
        </w:tc>
        <w:tc>
          <w:tcPr/>
          <w:p>
            <w:pPr>
              <w:pStyle w:val="Compact"/>
              <w:jc w:val="right"/>
            </w:pPr>
            <w:r>
              <w:t xml:space="preserve">1.000</w:t>
            </w:r>
          </w:p>
        </w:tc>
        <w:tc>
          <w:tcPr/>
          <w:p>
            <w:pPr>
              <w:pStyle w:val="Compact"/>
              <w:jc w:val="right"/>
            </w:pPr>
            <w:r>
              <w:t xml:space="preserve">185</w:t>
            </w:r>
          </w:p>
        </w:tc>
      </w:tr>
      <w:tr>
        <w:tc>
          <w:tcPr/>
          <w:p>
            <w:pPr>
              <w:pStyle w:val="Compact"/>
              <w:jc w:val="left"/>
            </w:pPr>
            <w:r>
              <w:t xml:space="preserve">Ortho-P Residual</w:t>
            </w:r>
          </w:p>
        </w:tc>
        <w:tc>
          <w:tcPr/>
          <w:p>
            <w:pPr>
              <w:pStyle w:val="Compact"/>
              <w:jc w:val="left"/>
            </w:pPr>
            <w:r>
              <w:t xml:space="preserve">mg/L as P</w:t>
            </w:r>
          </w:p>
        </w:tc>
        <w:tc>
          <w:tcPr/>
          <w:p>
            <w:pPr>
              <w:pStyle w:val="Compact"/>
              <w:jc w:val="left"/>
            </w:pPr>
            <w:r>
              <w:t xml:space="preserve">LP3A</w:t>
            </w:r>
          </w:p>
        </w:tc>
        <w:tc>
          <w:tcPr/>
          <w:p>
            <w:pPr>
              <w:pStyle w:val="Compact"/>
              <w:jc w:val="left"/>
            </w:pPr>
            <w:r>
              <w:t xml:space="preserve">Dose 1</w:t>
            </w:r>
          </w:p>
        </w:tc>
        <w:tc>
          <w:tcPr/>
          <w:p>
            <w:pPr>
              <w:pStyle w:val="Compact"/>
              <w:jc w:val="right"/>
            </w:pPr>
            <w:r>
              <w:t xml:space="preserve">1.8900</w:t>
            </w:r>
          </w:p>
        </w:tc>
        <w:tc>
          <w:tcPr/>
          <w:p>
            <w:pPr>
              <w:pStyle w:val="Compact"/>
              <w:jc w:val="right"/>
            </w:pPr>
            <w:r>
              <w:t xml:space="preserve">1.7200</w:t>
            </w:r>
          </w:p>
        </w:tc>
        <w:tc>
          <w:tcPr/>
          <w:p>
            <w:pPr>
              <w:pStyle w:val="Compact"/>
              <w:jc w:val="right"/>
            </w:pPr>
            <w:r>
              <w:t xml:space="preserve">1.960</w:t>
            </w:r>
          </w:p>
        </w:tc>
        <w:tc>
          <w:tcPr/>
          <w:p>
            <w:pPr>
              <w:pStyle w:val="Compact"/>
              <w:jc w:val="right"/>
            </w:pPr>
            <w:r>
              <w:t xml:space="preserve">54</w:t>
            </w:r>
          </w:p>
        </w:tc>
      </w:tr>
      <w:tr>
        <w:tc>
          <w:tcPr/>
          <w:p>
            <w:pPr>
              <w:pStyle w:val="Compact"/>
              <w:jc w:val="left"/>
            </w:pPr>
            <w:r>
              <w:t xml:space="preserve">Ortho-P Residual</w:t>
            </w:r>
          </w:p>
        </w:tc>
        <w:tc>
          <w:tcPr/>
          <w:p>
            <w:pPr>
              <w:pStyle w:val="Compact"/>
              <w:jc w:val="left"/>
            </w:pPr>
            <w:r>
              <w:t xml:space="preserve">mg/L as P</w:t>
            </w:r>
          </w:p>
        </w:tc>
        <w:tc>
          <w:tcPr/>
          <w:p>
            <w:pPr>
              <w:pStyle w:val="Compact"/>
              <w:jc w:val="left"/>
            </w:pPr>
            <w:r>
              <w:t xml:space="preserve">LP3A</w:t>
            </w:r>
          </w:p>
        </w:tc>
        <w:tc>
          <w:tcPr/>
          <w:p>
            <w:pPr>
              <w:pStyle w:val="Compact"/>
              <w:jc w:val="left"/>
            </w:pPr>
            <w:r>
              <w:t xml:space="preserve">Dose 2</w:t>
            </w:r>
          </w:p>
        </w:tc>
        <w:tc>
          <w:tcPr/>
          <w:p>
            <w:pPr>
              <w:pStyle w:val="Compact"/>
              <w:jc w:val="right"/>
            </w:pPr>
            <w:r>
              <w:t xml:space="preserve">0.7300</w:t>
            </w:r>
          </w:p>
        </w:tc>
        <w:tc>
          <w:tcPr/>
          <w:p>
            <w:pPr>
              <w:pStyle w:val="Compact"/>
              <w:jc w:val="right"/>
            </w:pPr>
            <w:r>
              <w:t xml:space="preserve">0.6800</w:t>
            </w:r>
          </w:p>
        </w:tc>
        <w:tc>
          <w:tcPr/>
          <w:p>
            <w:pPr>
              <w:pStyle w:val="Compact"/>
              <w:jc w:val="right"/>
            </w:pPr>
            <w:r>
              <w:t xml:space="preserve">0.760</w:t>
            </w:r>
          </w:p>
        </w:tc>
        <w:tc>
          <w:tcPr/>
          <w:p>
            <w:pPr>
              <w:pStyle w:val="Compact"/>
              <w:jc w:val="right"/>
            </w:pPr>
            <w:r>
              <w:t xml:space="preserve">130</w:t>
            </w:r>
          </w:p>
        </w:tc>
      </w:tr>
      <w:tr>
        <w:tc>
          <w:tcPr/>
          <w:p>
            <w:pPr>
              <w:pStyle w:val="Compact"/>
              <w:jc w:val="left"/>
            </w:pPr>
            <w:r>
              <w:t xml:space="preserve">pH</w:t>
            </w:r>
          </w:p>
        </w:tc>
        <w:tc>
          <w:tcPr/>
          <w:p>
            <w:pPr>
              <w:pStyle w:val="Compact"/>
              <w:jc w:val="left"/>
            </w:pPr>
            <w:r>
              <w:t xml:space="preserve">pH</w:t>
            </w:r>
          </w:p>
        </w:tc>
        <w:tc>
          <w:tcPr/>
          <w:p>
            <w:pPr>
              <w:pStyle w:val="Compact"/>
              <w:jc w:val="left"/>
            </w:pPr>
            <w:r>
              <w:t xml:space="preserve">LP[1-3]A</w:t>
            </w:r>
          </w:p>
        </w:tc>
        <w:tc>
          <w:tcPr/>
          <w:p>
            <w:pPr>
              <w:pStyle w:val="Compact"/>
              <w:jc w:val="left"/>
            </w:pPr>
            <w:r>
              <w:t xml:space="preserve">Comprehensive</w:t>
            </w:r>
          </w:p>
        </w:tc>
        <w:tc>
          <w:tcPr/>
          <w:p>
            <w:pPr>
              <w:pStyle w:val="Compact"/>
              <w:jc w:val="right"/>
            </w:pPr>
            <w:r>
              <w:t xml:space="preserve">7.9200</w:t>
            </w:r>
          </w:p>
        </w:tc>
        <w:tc>
          <w:tcPr/>
          <w:p>
            <w:pPr>
              <w:pStyle w:val="Compact"/>
              <w:jc w:val="right"/>
            </w:pPr>
            <w:r>
              <w:t xml:space="preserve">7.7800</w:t>
            </w:r>
          </w:p>
        </w:tc>
        <w:tc>
          <w:tcPr/>
          <w:p>
            <w:pPr>
              <w:pStyle w:val="Compact"/>
              <w:jc w:val="right"/>
            </w:pPr>
            <w:r>
              <w:t xml:space="preserve">8.040</w:t>
            </w:r>
          </w:p>
        </w:tc>
        <w:tc>
          <w:tcPr/>
          <w:p>
            <w:pPr>
              <w:pStyle w:val="Compact"/>
              <w:jc w:val="right"/>
            </w:pPr>
            <w:r>
              <w:t xml:space="preserve">330</w:t>
            </w:r>
          </w:p>
        </w:tc>
      </w:tr>
      <w:tr>
        <w:tc>
          <w:tcPr/>
          <w:p>
            <w:pPr>
              <w:pStyle w:val="Compact"/>
              <w:jc w:val="left"/>
            </w:pPr>
            <w:r>
              <w:t xml:space="preserve">Total Hardness</w:t>
            </w:r>
          </w:p>
        </w:tc>
        <w:tc>
          <w:tcPr/>
          <w:p>
            <w:pPr>
              <w:pStyle w:val="Compact"/>
              <w:jc w:val="left"/>
            </w:pPr>
            <w:r>
              <w:t xml:space="preserve">mg/L</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169.0000</w:t>
            </w:r>
          </w:p>
        </w:tc>
        <w:tc>
          <w:tcPr/>
          <w:p>
            <w:pPr>
              <w:pStyle w:val="Compact"/>
              <w:jc w:val="right"/>
            </w:pPr>
            <w:r>
              <w:t xml:space="preserve">161.0000</w:t>
            </w:r>
          </w:p>
        </w:tc>
        <w:tc>
          <w:tcPr/>
          <w:p>
            <w:pPr>
              <w:pStyle w:val="Compact"/>
              <w:jc w:val="right"/>
            </w:pPr>
            <w:r>
              <w:t xml:space="preserve">171.000</w:t>
            </w:r>
          </w:p>
        </w:tc>
        <w:tc>
          <w:tcPr/>
          <w:p>
            <w:pPr>
              <w:pStyle w:val="Compact"/>
              <w:jc w:val="right"/>
            </w:pPr>
            <w:r>
              <w:t xml:space="preserve">1230</w:t>
            </w:r>
          </w:p>
        </w:tc>
      </w:tr>
      <w:tr>
        <w:tc>
          <w:tcPr/>
          <w:p>
            <w:pPr>
              <w:pStyle w:val="Compact"/>
              <w:jc w:val="left"/>
            </w:pPr>
            <w:r>
              <w:t xml:space="preserve">Turbidity</w:t>
            </w:r>
          </w:p>
        </w:tc>
        <w:tc>
          <w:tcPr/>
          <w:p>
            <w:pPr>
              <w:pStyle w:val="Compact"/>
              <w:jc w:val="left"/>
            </w:pPr>
            <w:r>
              <w:t xml:space="preserve">NTU</w:t>
            </w:r>
          </w:p>
        </w:tc>
        <w:tc>
          <w:tcPr/>
          <w:p>
            <w:pPr>
              <w:pStyle w:val="Compact"/>
              <w:jc w:val="left"/>
            </w:pPr>
            <w:r>
              <w:t xml:space="preserve">Treated</w:t>
            </w:r>
          </w:p>
        </w:tc>
        <w:tc>
          <w:tcPr/>
          <w:p>
            <w:pPr>
              <w:pStyle w:val="Compact"/>
              <w:jc w:val="left"/>
            </w:pPr>
            <w:r>
              <w:t xml:space="preserve">Comprehensive</w:t>
            </w:r>
          </w:p>
        </w:tc>
        <w:tc>
          <w:tcPr/>
          <w:p>
            <w:pPr>
              <w:pStyle w:val="Compact"/>
              <w:jc w:val="right"/>
            </w:pPr>
            <w:r>
              <w:t xml:space="preserve">0.0529</w:t>
            </w:r>
          </w:p>
        </w:tc>
        <w:tc>
          <w:tcPr/>
          <w:p>
            <w:pPr>
              <w:pStyle w:val="Compact"/>
              <w:jc w:val="right"/>
            </w:pPr>
            <w:r>
              <w:t xml:space="preserve">0.0456</w:t>
            </w:r>
          </w:p>
        </w:tc>
        <w:tc>
          <w:tcPr/>
          <w:p>
            <w:pPr>
              <w:pStyle w:val="Compact"/>
              <w:jc w:val="right"/>
            </w:pPr>
            <w:r>
              <w:t xml:space="preserve">0.060</w:t>
            </w:r>
          </w:p>
        </w:tc>
        <w:tc>
          <w:tcPr/>
          <w:p>
            <w:pPr>
              <w:pStyle w:val="Compact"/>
              <w:jc w:val="right"/>
            </w:pPr>
            <w:r>
              <w:t xml:space="preserve">1520</w:t>
            </w:r>
          </w:p>
        </w:tc>
      </w:tr>
    </w:tbl>
    <w:p>
      <w:pPr>
        <w:pStyle w:val="CaptionedFigure"/>
      </w:pPr>
      <w:r>
        <w:drawing>
          <wp:inline>
            <wp:extent cx="5943600" cy="3719207"/>
            <wp:effectExtent b="0" l="0" r="0" t="0"/>
            <wp:docPr descr="Figure S1. Schematic of the pipe loop system." title="" id="22" name="Picture"/>
            <a:graphic>
              <a:graphicData uri="http://schemas.openxmlformats.org/drawingml/2006/picture">
                <pic:pic>
                  <pic:nvPicPr>
                    <pic:cNvPr descr="figures/figure-s1.png" id="23" name="Picture"/>
                    <pic:cNvPicPr>
                      <a:picLocks noChangeArrowheads="1" noChangeAspect="1"/>
                    </pic:cNvPicPr>
                  </pic:nvPicPr>
                  <pic:blipFill>
                    <a:blip r:embed="rId21"/>
                    <a:stretch>
                      <a:fillRect/>
                    </a:stretch>
                  </pic:blipFill>
                  <pic:spPr bwMode="auto">
                    <a:xfrm>
                      <a:off x="0" y="0"/>
                      <a:ext cx="5943600" cy="3719207"/>
                    </a:xfrm>
                    <a:prstGeom prst="rect">
                      <a:avLst/>
                    </a:prstGeom>
                    <a:noFill/>
                    <a:ln w="9525">
                      <a:noFill/>
                      <a:headEnd/>
                      <a:tailEnd/>
                    </a:ln>
                  </pic:spPr>
                </pic:pic>
              </a:graphicData>
            </a:graphic>
          </wp:inline>
        </w:drawing>
      </w:r>
    </w:p>
    <w:p>
      <w:pPr>
        <w:pStyle w:val="ImageCaption"/>
      </w:pPr>
      <w:r>
        <w:rPr>
          <w:bCs/>
          <w:b/>
        </w:rPr>
        <w:t xml:space="preserve">Figure S1.</w:t>
      </w:r>
      <w:r>
        <w:t xml:space="preserve"> </w:t>
      </w:r>
      <w:r>
        <w:t xml:space="preserve">Schematic of the pipe loop system.</w:t>
      </w:r>
    </w:p>
    <w:p>
      <w:pPr>
        <w:pStyle w:val="CaptionedFigure"/>
      </w:pPr>
      <w:r>
        <w:drawing>
          <wp:inline>
            <wp:extent cx="5943600" cy="3169920"/>
            <wp:effectExtent b="0" l="0" r="0" t="0"/>
            <wp:docPr descr="Figure S2. Choice of prior did not appear to have a strong impact on the posterior distribution." title="" id="25" name="Picture"/>
            <a:graphic>
              <a:graphicData uri="http://schemas.openxmlformats.org/drawingml/2006/picture">
                <pic:pic>
                  <pic:nvPicPr>
                    <pic:cNvPr descr="figures/figure-s2.png" id="26" name="Picture"/>
                    <pic:cNvPicPr>
                      <a:picLocks noChangeArrowheads="1" noChangeAspect="1"/>
                    </pic:cNvPicPr>
                  </pic:nvPicPr>
                  <pic:blipFill>
                    <a:blip r:embed="rId24"/>
                    <a:stretch>
                      <a:fillRect/>
                    </a:stretch>
                  </pic:blipFill>
                  <pic:spPr bwMode="auto">
                    <a:xfrm>
                      <a:off x="0" y="0"/>
                      <a:ext cx="5943600" cy="3169920"/>
                    </a:xfrm>
                    <a:prstGeom prst="rect">
                      <a:avLst/>
                    </a:prstGeom>
                    <a:noFill/>
                    <a:ln w="9525">
                      <a:noFill/>
                      <a:headEnd/>
                      <a:tailEnd/>
                    </a:ln>
                  </pic:spPr>
                </pic:pic>
              </a:graphicData>
            </a:graphic>
          </wp:inline>
        </w:drawing>
      </w:r>
    </w:p>
    <w:p>
      <w:pPr>
        <w:pStyle w:val="ImageCaption"/>
      </w:pPr>
      <w:r>
        <w:rPr>
          <w:bCs/>
          <w:b/>
        </w:rPr>
        <w:t xml:space="preserve">Figure S2.</w:t>
      </w:r>
      <w:r>
        <w:t xml:space="preserve"> </w:t>
      </w:r>
      <w:r>
        <w:t xml:space="preserve">Choice of prior did not appear to have a strong impact on the posterior distribution.</w:t>
      </w:r>
    </w:p>
    <w:p>
      <w:pPr>
        <w:pStyle w:val="BodyText"/>
      </w:pPr>
      <w:r>
        <w:t xml:space="preserve">Figures S3–4 and S6–7 summarize the parameters of models fitted to observed and simulated data, respectively, including all of the spline coefficients (the weights applied to the basis functions). The statistic</w:t>
      </w:r>
      <w:r>
        <w:t xml:space="preserve"> </w:t>
      </w:r>
      <m:oMath>
        <m:acc>
          <m:accPr>
            <m:chr m:val="̂"/>
          </m:accPr>
          <m:e>
            <m:r>
              <m:t>R</m:t>
            </m:r>
          </m:e>
        </m:acc>
      </m:oMath>
      <w:r>
        <w:t xml:space="preserve"> </w:t>
      </w:r>
      <w:r>
        <w:t xml:space="preserve">is a convergence metric; at convergence</w:t>
      </w:r>
      <w:r>
        <w:t xml:space="preserve"> </w:t>
      </w:r>
      <m:oMath>
        <m:acc>
          <m:accPr>
            <m:chr m:val="̂"/>
          </m:accPr>
          <m:e>
            <m:r>
              <m:t>R</m:t>
            </m:r>
          </m:e>
        </m:acc>
      </m:oMath>
      <w:r>
        <w:t xml:space="preserve"> </w:t>
      </w:r>
      <w:r>
        <w:t xml:space="preserve">is equal to 1, and an</w:t>
      </w:r>
      <w:r>
        <w:t xml:space="preserve"> </w:t>
      </w:r>
      <m:oMath>
        <m:acc>
          <m:accPr>
            <m:chr m:val="̂"/>
          </m:accPr>
          <m:e>
            <m:r>
              <m:t>R</m:t>
            </m:r>
          </m:e>
        </m:acc>
      </m:oMath>
      <w:r>
        <w:t xml:space="preserve"> </w:t>
      </w:r>
      <w:r>
        <w:t xml:space="preserve">less than 1.1 is usually taken to represent approximate convergence</w:t>
      </w:r>
      <w:r>
        <w:rPr>
          <w:vertAlign w:val="superscript"/>
        </w:rPr>
        <w:t xml:space="preserve">1</w:t>
      </w:r>
      <w:r>
        <w:t xml:space="preserve">. Here, all</w:t>
      </w:r>
      <w:r>
        <w:t xml:space="preserve"> </w:t>
      </w:r>
      <m:oMath>
        <m:acc>
          <m:accPr>
            <m:chr m:val="̂"/>
          </m:accPr>
          <m:e>
            <m:r>
              <m:t>R</m:t>
            </m:r>
          </m:e>
        </m:acc>
      </m:oMath>
      <w:r>
        <w:t xml:space="preserve"> </w:t>
      </w:r>
      <w:r>
        <w:t xml:space="preserve">values were less than 1.05. The effective sample size</w:t>
      </w:r>
      <w:r>
        <w:t xml:space="preserve"> </w:t>
      </w:r>
      <m:oMath>
        <m:sSub>
          <m:e>
            <m:r>
              <m:t>N</m:t>
            </m:r>
          </m:e>
          <m:sub>
            <m:r>
              <m:t>e</m:t>
            </m:r>
            <m:r>
              <m:t>f</m:t>
            </m:r>
            <m:r>
              <m:t>f</m:t>
            </m:r>
          </m:sub>
        </m:sSub>
      </m:oMath>
      <w:r>
        <w:t xml:space="preserve"> </w:t>
      </w:r>
      <w:r>
        <w:t xml:space="preserve">measures the amount by which autocorrelation in the MCMC chains increases uncertainty in the parameter estimates. That is,</w:t>
      </w:r>
      <w:r>
        <w:t xml:space="preserve"> </w:t>
      </w:r>
      <m:oMath>
        <m:sSub>
          <m:e>
            <m:r>
              <m:t>N</m:t>
            </m:r>
          </m:e>
          <m:sub>
            <m:r>
              <m:t>e</m:t>
            </m:r>
            <m:r>
              <m:t>f</m:t>
            </m:r>
            <m:r>
              <m:t>f</m:t>
            </m:r>
          </m:sub>
        </m:sSub>
      </m:oMath>
      <w:r>
        <w:t xml:space="preserve"> </w:t>
      </w:r>
      <w:r>
        <w:t xml:space="preserve">has the same estimation power as the</w:t>
      </w:r>
      <w:r>
        <w:t xml:space="preserve"> </w:t>
      </w:r>
      <m:oMath>
        <m:r>
          <m:t>N</m:t>
        </m:r>
      </m:oMath>
      <w:r>
        <w:t xml:space="preserve"> </w:t>
      </w:r>
      <w:r>
        <w:t xml:space="preserve">autocorrelated samples. An effective sample size greater than 100 per chain is considered adequate. Here, effective sample sizes for all parameters exceeded this threshold.</w:t>
      </w:r>
    </w:p>
    <w:p>
      <w:pPr>
        <w:pStyle w:val="CaptionedFigure"/>
      </w:pPr>
      <w:r>
        <w:drawing>
          <wp:inline>
            <wp:extent cx="5943600" cy="5547360"/>
            <wp:effectExtent b="0" l="0" r="0" t="0"/>
            <wp:docPr descr="Figure S3. Summary of model parameters and convergence statistics (dissolved lead model). Medians calculated from the posterior distributions of the (a) spline coefficients, (b) other parameters (as labelled), (c) random intercepts, and (d) standard deviations of the group-level multiyear splines. Error bars span the middle 95% of each distribution. \widehat{R}, a convergence statistic, is mapped to point colour and size." title="" id="28" name="Picture"/>
            <a:graphic>
              <a:graphicData uri="http://schemas.openxmlformats.org/drawingml/2006/picture">
                <pic:pic>
                  <pic:nvPicPr>
                    <pic:cNvPr descr="figures/figure-s3.png" id="29" name="Picture"/>
                    <pic:cNvPicPr>
                      <a:picLocks noChangeArrowheads="1" noChangeAspect="1"/>
                    </pic:cNvPicPr>
                  </pic:nvPicPr>
                  <pic:blipFill>
                    <a:blip r:embed="rId27"/>
                    <a:stretch>
                      <a:fillRect/>
                    </a:stretch>
                  </pic:blipFill>
                  <pic:spPr bwMode="auto">
                    <a:xfrm>
                      <a:off x="0" y="0"/>
                      <a:ext cx="5943600" cy="5547360"/>
                    </a:xfrm>
                    <a:prstGeom prst="rect">
                      <a:avLst/>
                    </a:prstGeom>
                    <a:noFill/>
                    <a:ln w="9525">
                      <a:noFill/>
                      <a:headEnd/>
                      <a:tailEnd/>
                    </a:ln>
                  </pic:spPr>
                </pic:pic>
              </a:graphicData>
            </a:graphic>
          </wp:inline>
        </w:drawing>
      </w:r>
    </w:p>
    <w:p>
      <w:pPr>
        <w:pStyle w:val="ImageCaption"/>
      </w:pPr>
      <w:r>
        <w:rPr>
          <w:bCs/>
          <w:b/>
        </w:rPr>
        <w:t xml:space="preserve">Figure S3.</w:t>
      </w:r>
      <w:r>
        <w:t xml:space="preserve"> </w:t>
      </w:r>
      <w:r>
        <w:t xml:space="preserve">Summary of model parameters and convergence statistics (dissolved lead model). Medians calculated from the posterior distributions of the</w:t>
      </w:r>
      <w:r>
        <w:t xml:space="preserve"> </w:t>
      </w:r>
      <w:r>
        <w:rPr>
          <w:bCs/>
          <w:b/>
        </w:rPr>
        <w:t xml:space="preserve">(a)</w:t>
      </w:r>
      <w:r>
        <w:t xml:space="preserve"> </w:t>
      </w:r>
      <w:r>
        <w:t xml:space="preserve">spline coefficients,</w:t>
      </w:r>
      <w:r>
        <w:t xml:space="preserve"> </w:t>
      </w:r>
      <w:r>
        <w:rPr>
          <w:bCs/>
          <w:b/>
        </w:rPr>
        <w:t xml:space="preserve">(b)</w:t>
      </w:r>
      <w:r>
        <w:t xml:space="preserve"> </w:t>
      </w:r>
      <w:r>
        <w:t xml:space="preserve">other parameters (as labelled),</w:t>
      </w:r>
      <w:r>
        <w:t xml:space="preserve"> </w:t>
      </w:r>
      <w:r>
        <w:rPr>
          <w:bCs/>
          <w:b/>
        </w:rPr>
        <w:t xml:space="preserve">(c)</w:t>
      </w:r>
      <w:r>
        <w:t xml:space="preserve"> </w:t>
      </w:r>
      <w:r>
        <w:t xml:space="preserve">random intercepts, and</w:t>
      </w:r>
      <w:r>
        <w:t xml:space="preserve"> </w:t>
      </w:r>
      <w:r>
        <w:rPr>
          <w:bCs/>
          <w:b/>
        </w:rPr>
        <w:t xml:space="preserve">(d)</w:t>
      </w:r>
      <w:r>
        <w:t xml:space="preserve"> </w:t>
      </w:r>
      <w:r>
        <w:t xml:space="preserve">standard deviations of the group-level multiyear splines. Error bars span the middle 95% of each distribution.</w:t>
      </w:r>
      <w:r>
        <w:t xml:space="preserve"> </w:t>
      </w:r>
      <m:oMath>
        <m:acc>
          <m:accPr>
            <m:chr m:val="̂"/>
          </m:accPr>
          <m:e>
            <m:r>
              <m:t>R</m:t>
            </m:r>
          </m:e>
        </m:acc>
      </m:oMath>
      <w:r>
        <w:t xml:space="preserve">, a convergence statistic, is mapped to point colour and size.</w:t>
      </w:r>
    </w:p>
    <w:p>
      <w:pPr>
        <w:pStyle w:val="CaptionedFigure"/>
      </w:pPr>
      <w:r>
        <w:drawing>
          <wp:inline>
            <wp:extent cx="5943600" cy="5547360"/>
            <wp:effectExtent b="0" l="0" r="0" t="0"/>
            <wp:docPr descr="Figure S4. Summary of model parameters and convergence statistics (particulate lead model). Medians calculated from the posterior distributions of the (a) spline coefficients, (b) other parameters (as labelled), (c) random intercepts, and (d) standard deviations of the group-level multiyear splines. Error bars span the middle 95% of each distribution. \widehat{R}, a convergence statistic, is mapped to point colour and size." title="" id="31" name="Picture"/>
            <a:graphic>
              <a:graphicData uri="http://schemas.openxmlformats.org/drawingml/2006/picture">
                <pic:pic>
                  <pic:nvPicPr>
                    <pic:cNvPr descr="figures/figure-s4.png" id="32" name="Picture"/>
                    <pic:cNvPicPr>
                      <a:picLocks noChangeArrowheads="1" noChangeAspect="1"/>
                    </pic:cNvPicPr>
                  </pic:nvPicPr>
                  <pic:blipFill>
                    <a:blip r:embed="rId30"/>
                    <a:stretch>
                      <a:fillRect/>
                    </a:stretch>
                  </pic:blipFill>
                  <pic:spPr bwMode="auto">
                    <a:xfrm>
                      <a:off x="0" y="0"/>
                      <a:ext cx="5943600" cy="5547360"/>
                    </a:xfrm>
                    <a:prstGeom prst="rect">
                      <a:avLst/>
                    </a:prstGeom>
                    <a:noFill/>
                    <a:ln w="9525">
                      <a:noFill/>
                      <a:headEnd/>
                      <a:tailEnd/>
                    </a:ln>
                  </pic:spPr>
                </pic:pic>
              </a:graphicData>
            </a:graphic>
          </wp:inline>
        </w:drawing>
      </w:r>
    </w:p>
    <w:p>
      <w:pPr>
        <w:pStyle w:val="ImageCaption"/>
      </w:pPr>
      <w:r>
        <w:rPr>
          <w:bCs/>
          <w:b/>
        </w:rPr>
        <w:t xml:space="preserve">Figure S4.</w:t>
      </w:r>
      <w:r>
        <w:t xml:space="preserve"> </w:t>
      </w:r>
      <w:r>
        <w:t xml:space="preserve">Summary of model parameters and convergence statistics (particulate lead model). Medians calculated from the posterior distributions of the</w:t>
      </w:r>
      <w:r>
        <w:t xml:space="preserve"> </w:t>
      </w:r>
      <w:r>
        <w:rPr>
          <w:bCs/>
          <w:b/>
        </w:rPr>
        <w:t xml:space="preserve">(a)</w:t>
      </w:r>
      <w:r>
        <w:t xml:space="preserve"> </w:t>
      </w:r>
      <w:r>
        <w:t xml:space="preserve">spline coefficients,</w:t>
      </w:r>
      <w:r>
        <w:t xml:space="preserve"> </w:t>
      </w:r>
      <w:r>
        <w:rPr>
          <w:bCs/>
          <w:b/>
        </w:rPr>
        <w:t xml:space="preserve">(b)</w:t>
      </w:r>
      <w:r>
        <w:t xml:space="preserve"> </w:t>
      </w:r>
      <w:r>
        <w:t xml:space="preserve">other parameters (as labelled),</w:t>
      </w:r>
      <w:r>
        <w:t xml:space="preserve"> </w:t>
      </w:r>
      <w:r>
        <w:rPr>
          <w:bCs/>
          <w:b/>
        </w:rPr>
        <w:t xml:space="preserve">(c)</w:t>
      </w:r>
      <w:r>
        <w:t xml:space="preserve"> </w:t>
      </w:r>
      <w:r>
        <w:t xml:space="preserve">random intercepts, and</w:t>
      </w:r>
      <w:r>
        <w:t xml:space="preserve"> </w:t>
      </w:r>
      <w:r>
        <w:rPr>
          <w:bCs/>
          <w:b/>
        </w:rPr>
        <w:t xml:space="preserve">(d)</w:t>
      </w:r>
      <w:r>
        <w:t xml:space="preserve"> </w:t>
      </w:r>
      <w:r>
        <w:t xml:space="preserve">standard deviations of the group-level multiyear splines. Error bars span the middle 95% of each distribution.</w:t>
      </w:r>
      <w:r>
        <w:t xml:space="preserve"> </w:t>
      </w:r>
      <m:oMath>
        <m:acc>
          <m:accPr>
            <m:chr m:val="̂"/>
          </m:accPr>
          <m:e>
            <m:r>
              <m:t>R</m:t>
            </m:r>
          </m:e>
        </m:acc>
      </m:oMath>
      <w:r>
        <w:t xml:space="preserve">, a convergence statistic, is mapped to point colour and size.</w:t>
      </w:r>
    </w:p>
    <w:p>
      <w:pPr>
        <w:pStyle w:val="CaptionedFigure"/>
      </w:pPr>
      <w:r>
        <w:drawing>
          <wp:inline>
            <wp:extent cx="5943600" cy="3764280"/>
            <wp:effectExtent b="0" l="0" r="0" t="0"/>
            <wp:docPr descr="Figure S5. In the model fitted to simulated data, (a) seasonal component of the trend in dissolved lead. (b) Global multiyear component of the trend in dissolved and particulate lead. (c) Group-level (i.e., pipe-specific) multiyear trends in dissolved and particulate lead, representing the deviations of each time series from the global multiyear trend. In panels (a–b), shaded regions span the middle 95% of the posterior distribution, and 200 draws from that posterior are superimposed in blue. All plots are shown on the transformed scale and centered." title="" id="34" name="Picture"/>
            <a:graphic>
              <a:graphicData uri="http://schemas.openxmlformats.org/drawingml/2006/picture">
                <pic:pic>
                  <pic:nvPicPr>
                    <pic:cNvPr descr="figures/figure-s5.png" id="35" name="Picture"/>
                    <pic:cNvPicPr>
                      <a:picLocks noChangeArrowheads="1" noChangeAspect="1"/>
                    </pic:cNvPicPr>
                  </pic:nvPicPr>
                  <pic:blipFill>
                    <a:blip r:embed="rId33"/>
                    <a:stretch>
                      <a:fillRect/>
                    </a:stretch>
                  </pic:blipFill>
                  <pic:spPr bwMode="auto">
                    <a:xfrm>
                      <a:off x="0" y="0"/>
                      <a:ext cx="5943600" cy="3764280"/>
                    </a:xfrm>
                    <a:prstGeom prst="rect">
                      <a:avLst/>
                    </a:prstGeom>
                    <a:noFill/>
                    <a:ln w="9525">
                      <a:noFill/>
                      <a:headEnd/>
                      <a:tailEnd/>
                    </a:ln>
                  </pic:spPr>
                </pic:pic>
              </a:graphicData>
            </a:graphic>
          </wp:inline>
        </w:drawing>
      </w:r>
    </w:p>
    <w:p>
      <w:pPr>
        <w:pStyle w:val="ImageCaption"/>
      </w:pPr>
      <w:r>
        <w:rPr>
          <w:bCs/>
          <w:b/>
        </w:rPr>
        <w:t xml:space="preserve">Figure S5.</w:t>
      </w:r>
      <w:r>
        <w:t xml:space="preserve"> </w:t>
      </w:r>
      <w:r>
        <w:t xml:space="preserve">In the model fitted to simulated data,</w:t>
      </w:r>
      <w:r>
        <w:t xml:space="preserve"> </w:t>
      </w:r>
      <w:r>
        <w:rPr>
          <w:bCs/>
          <w:b/>
        </w:rPr>
        <w:t xml:space="preserve">(a)</w:t>
      </w:r>
      <w:r>
        <w:t xml:space="preserve"> </w:t>
      </w:r>
      <w:r>
        <w:t xml:space="preserve">seasonal component of the trend in dissolved lead.</w:t>
      </w:r>
      <w:r>
        <w:t xml:space="preserve"> </w:t>
      </w:r>
      <w:r>
        <w:rPr>
          <w:bCs/>
          <w:b/>
        </w:rPr>
        <w:t xml:space="preserve">(b)</w:t>
      </w:r>
      <w:r>
        <w:t xml:space="preserve"> </w:t>
      </w:r>
      <w:r>
        <w:t xml:space="preserve">Global multiyear component of the trend in dissolved and particulate lead.</w:t>
      </w:r>
      <w:r>
        <w:t xml:space="preserve"> </w:t>
      </w:r>
      <w:r>
        <w:rPr>
          <w:bCs/>
          <w:b/>
        </w:rPr>
        <w:t xml:space="preserve">(c)</w:t>
      </w:r>
      <w:r>
        <w:t xml:space="preserve"> </w:t>
      </w:r>
      <w:r>
        <w:t xml:space="preserve">Group-level (i.e., pipe-specific) multiyear trends in dissolved and particulate lead, representing the deviations of each time series from the global multiyear trend. In panels</w:t>
      </w:r>
      <w:r>
        <w:t xml:space="preserve"> </w:t>
      </w:r>
      <w:r>
        <w:rPr>
          <w:bCs/>
          <w:b/>
        </w:rPr>
        <w:t xml:space="preserve">(a–b)</w:t>
      </w:r>
      <w:r>
        <w:t xml:space="preserve">, shaded regions span the middle 95% of the posterior distribution, and 200 draws from that posterior are superimposed in blue. All plots are shown on the transformed scale and centered.</w:t>
      </w:r>
    </w:p>
    <w:p>
      <w:pPr>
        <w:pStyle w:val="CaptionedFigure"/>
      </w:pPr>
      <w:r>
        <w:drawing>
          <wp:inline>
            <wp:extent cx="5943600" cy="5547360"/>
            <wp:effectExtent b="0" l="0" r="0" t="0"/>
            <wp:docPr descr="Figure S6. Summary of model parameters and convergence statistics (dissolved lead model fitted to simulated data). Medians calculated from the posterior distributions of the (a) spline coefficients, (b) other parameters (as labelled), (c) random intercepts, and (d) standard deviations of the group-level multiyear splines. Error bars span the middle 95% of each distribution. \widehat{R}, a convergence statistic, is mapped to point colour and size." title="" id="37" name="Picture"/>
            <a:graphic>
              <a:graphicData uri="http://schemas.openxmlformats.org/drawingml/2006/picture">
                <pic:pic>
                  <pic:nvPicPr>
                    <pic:cNvPr descr="figures/figure-s6.png" id="38" name="Picture"/>
                    <pic:cNvPicPr>
                      <a:picLocks noChangeArrowheads="1" noChangeAspect="1"/>
                    </pic:cNvPicPr>
                  </pic:nvPicPr>
                  <pic:blipFill>
                    <a:blip r:embed="rId36"/>
                    <a:stretch>
                      <a:fillRect/>
                    </a:stretch>
                  </pic:blipFill>
                  <pic:spPr bwMode="auto">
                    <a:xfrm>
                      <a:off x="0" y="0"/>
                      <a:ext cx="5943600" cy="5547360"/>
                    </a:xfrm>
                    <a:prstGeom prst="rect">
                      <a:avLst/>
                    </a:prstGeom>
                    <a:noFill/>
                    <a:ln w="9525">
                      <a:noFill/>
                      <a:headEnd/>
                      <a:tailEnd/>
                    </a:ln>
                  </pic:spPr>
                </pic:pic>
              </a:graphicData>
            </a:graphic>
          </wp:inline>
        </w:drawing>
      </w:r>
    </w:p>
    <w:p>
      <w:pPr>
        <w:pStyle w:val="ImageCaption"/>
      </w:pPr>
      <w:r>
        <w:rPr>
          <w:bCs/>
          <w:b/>
        </w:rPr>
        <w:t xml:space="preserve">Figure S6.</w:t>
      </w:r>
      <w:r>
        <w:t xml:space="preserve"> </w:t>
      </w:r>
      <w:r>
        <w:t xml:space="preserve">Summary of model parameters and convergence statistics (dissolved lead model fitted to simulated data). Medians calculated from the posterior distributions of the</w:t>
      </w:r>
      <w:r>
        <w:t xml:space="preserve"> </w:t>
      </w:r>
      <w:r>
        <w:rPr>
          <w:bCs/>
          <w:b/>
        </w:rPr>
        <w:t xml:space="preserve">(a)</w:t>
      </w:r>
      <w:r>
        <w:t xml:space="preserve"> </w:t>
      </w:r>
      <w:r>
        <w:t xml:space="preserve">spline coefficients,</w:t>
      </w:r>
      <w:r>
        <w:t xml:space="preserve"> </w:t>
      </w:r>
      <w:r>
        <w:rPr>
          <w:bCs/>
          <w:b/>
        </w:rPr>
        <w:t xml:space="preserve">(b)</w:t>
      </w:r>
      <w:r>
        <w:t xml:space="preserve"> </w:t>
      </w:r>
      <w:r>
        <w:t xml:space="preserve">other parameters (as labelled),</w:t>
      </w:r>
      <w:r>
        <w:t xml:space="preserve"> </w:t>
      </w:r>
      <w:r>
        <w:rPr>
          <w:bCs/>
          <w:b/>
        </w:rPr>
        <w:t xml:space="preserve">(c)</w:t>
      </w:r>
      <w:r>
        <w:t xml:space="preserve"> </w:t>
      </w:r>
      <w:r>
        <w:t xml:space="preserve">random intercepts, and</w:t>
      </w:r>
      <w:r>
        <w:t xml:space="preserve"> </w:t>
      </w:r>
      <w:r>
        <w:rPr>
          <w:bCs/>
          <w:b/>
        </w:rPr>
        <w:t xml:space="preserve">(d)</w:t>
      </w:r>
      <w:r>
        <w:t xml:space="preserve"> </w:t>
      </w:r>
      <w:r>
        <w:t xml:space="preserve">standard deviations of the group-level multiyear splines. Error bars span the middle 95% of each distribution.</w:t>
      </w:r>
      <w:r>
        <w:t xml:space="preserve"> </w:t>
      </w:r>
      <m:oMath>
        <m:acc>
          <m:accPr>
            <m:chr m:val="̂"/>
          </m:accPr>
          <m:e>
            <m:r>
              <m:t>R</m:t>
            </m:r>
          </m:e>
        </m:acc>
      </m:oMath>
      <w:r>
        <w:t xml:space="preserve">, a convergence statistic, is mapped to point colour and size.</w:t>
      </w:r>
    </w:p>
    <w:p>
      <w:pPr>
        <w:pStyle w:val="CaptionedFigure"/>
      </w:pPr>
      <w:r>
        <w:drawing>
          <wp:inline>
            <wp:extent cx="5943600" cy="5547360"/>
            <wp:effectExtent b="0" l="0" r="0" t="0"/>
            <wp:docPr descr="Figure S7. Summary of model parameters and convergence statistics (particulate lead model fitted to simulated data). Medians calculated from the posterior distributions of the (a) spline coefficients, (b) other parameters (as labelled), (c) random intercepts, and (d) standard deviations of the group-level multiyear splines. Error bars span the middle 95% of each distribution. \widehat{R}, a convergence statistic, is mapped to point colour and size." title="" id="40" name="Picture"/>
            <a:graphic>
              <a:graphicData uri="http://schemas.openxmlformats.org/drawingml/2006/picture">
                <pic:pic>
                  <pic:nvPicPr>
                    <pic:cNvPr descr="figures/figure-s7.png" id="41" name="Picture"/>
                    <pic:cNvPicPr>
                      <a:picLocks noChangeArrowheads="1" noChangeAspect="1"/>
                    </pic:cNvPicPr>
                  </pic:nvPicPr>
                  <pic:blipFill>
                    <a:blip r:embed="rId39"/>
                    <a:stretch>
                      <a:fillRect/>
                    </a:stretch>
                  </pic:blipFill>
                  <pic:spPr bwMode="auto">
                    <a:xfrm>
                      <a:off x="0" y="0"/>
                      <a:ext cx="5943600" cy="5547360"/>
                    </a:xfrm>
                    <a:prstGeom prst="rect">
                      <a:avLst/>
                    </a:prstGeom>
                    <a:noFill/>
                    <a:ln w="9525">
                      <a:noFill/>
                      <a:headEnd/>
                      <a:tailEnd/>
                    </a:ln>
                  </pic:spPr>
                </pic:pic>
              </a:graphicData>
            </a:graphic>
          </wp:inline>
        </w:drawing>
      </w:r>
    </w:p>
    <w:p>
      <w:pPr>
        <w:pStyle w:val="ImageCaption"/>
      </w:pPr>
      <w:r>
        <w:rPr>
          <w:bCs/>
          <w:b/>
        </w:rPr>
        <w:t xml:space="preserve">Figure S7.</w:t>
      </w:r>
      <w:r>
        <w:t xml:space="preserve"> </w:t>
      </w:r>
      <w:r>
        <w:t xml:space="preserve">Summary of model parameters and convergence statistics (particulate lead model fitted to simulated data). Medians calculated from the posterior distributions of the</w:t>
      </w:r>
      <w:r>
        <w:t xml:space="preserve"> </w:t>
      </w:r>
      <w:r>
        <w:rPr>
          <w:bCs/>
          <w:b/>
        </w:rPr>
        <w:t xml:space="preserve">(a)</w:t>
      </w:r>
      <w:r>
        <w:t xml:space="preserve"> </w:t>
      </w:r>
      <w:r>
        <w:t xml:space="preserve">spline coefficients,</w:t>
      </w:r>
      <w:r>
        <w:t xml:space="preserve"> </w:t>
      </w:r>
      <w:r>
        <w:rPr>
          <w:bCs/>
          <w:b/>
        </w:rPr>
        <w:t xml:space="preserve">(b)</w:t>
      </w:r>
      <w:r>
        <w:t xml:space="preserve"> </w:t>
      </w:r>
      <w:r>
        <w:t xml:space="preserve">other parameters (as labelled),</w:t>
      </w:r>
      <w:r>
        <w:t xml:space="preserve"> </w:t>
      </w:r>
      <w:r>
        <w:rPr>
          <w:bCs/>
          <w:b/>
        </w:rPr>
        <w:t xml:space="preserve">(c)</w:t>
      </w:r>
      <w:r>
        <w:t xml:space="preserve"> </w:t>
      </w:r>
      <w:r>
        <w:t xml:space="preserve">random intercepts, and</w:t>
      </w:r>
      <w:r>
        <w:t xml:space="preserve"> </w:t>
      </w:r>
      <w:r>
        <w:rPr>
          <w:bCs/>
          <w:b/>
        </w:rPr>
        <w:t xml:space="preserve">(d)</w:t>
      </w:r>
      <w:r>
        <w:t xml:space="preserve"> </w:t>
      </w:r>
      <w:r>
        <w:t xml:space="preserve">standard deviations of the group-level multiyear splines. Error bars span the middle 95% of each distribution.</w:t>
      </w:r>
      <w:r>
        <w:t xml:space="preserve"> </w:t>
      </w:r>
      <m:oMath>
        <m:acc>
          <m:accPr>
            <m:chr m:val="̂"/>
          </m:accPr>
          <m:e>
            <m:r>
              <m:t>R</m:t>
            </m:r>
          </m:e>
        </m:acc>
      </m:oMath>
      <w:r>
        <w:t xml:space="preserve">, a convergence statistic, is mapped to point colour and size.</w:t>
      </w:r>
    </w:p>
    <w:p>
      <w:pPr>
        <w:pStyle w:val="CaptionedFigure"/>
      </w:pPr>
      <w:r>
        <w:drawing>
          <wp:inline>
            <wp:extent cx="5943600" cy="3820885"/>
            <wp:effectExtent b="0" l="0" r="0" t="0"/>
            <wp:docPr descr="Figure S8. Simulated residuals, grouped by orthophosphate dosing protocol and pipe material. Points represent medians summarizing 4000 draws from the posterior, and error bars span the 95% credible intervals." title="" id="43" name="Picture"/>
            <a:graphic>
              <a:graphicData uri="http://schemas.openxmlformats.org/drawingml/2006/picture">
                <pic:pic>
                  <pic:nvPicPr>
                    <pic:cNvPr descr="figures/figure-s8.png" id="44" name="Picture"/>
                    <pic:cNvPicPr>
                      <a:picLocks noChangeArrowheads="1" noChangeAspect="1"/>
                    </pic:cNvPicPr>
                  </pic:nvPicPr>
                  <pic:blipFill>
                    <a:blip r:embed="rId42"/>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rPr>
          <w:bCs/>
          <w:b/>
        </w:rPr>
        <w:t xml:space="preserve">Figure S8.</w:t>
      </w:r>
      <w:r>
        <w:t xml:space="preserve"> </w:t>
      </w:r>
      <w:r>
        <w:t xml:space="preserve">Simulated residuals, grouped by orthophosphate dosing protocol and pipe material. Points represent medians summarizing 4000 draws from the posterior, and error bars span the 95% credible intervals.</w:t>
      </w:r>
    </w:p>
    <w:p>
      <w:pPr>
        <w:pStyle w:val="CaptionedFigure"/>
      </w:pPr>
      <w:r>
        <w:drawing>
          <wp:inline>
            <wp:extent cx="5943600" cy="3820885"/>
            <wp:effectExtent b="0" l="0" r="0" t="0"/>
            <wp:docPr descr="Figure S9. (a) True colour in pipe loop feedwater, by month and year. (b) Aluminum in feedwater, by orthophosphate dose." title="" id="46" name="Picture"/>
            <a:graphic>
              <a:graphicData uri="http://schemas.openxmlformats.org/drawingml/2006/picture">
                <pic:pic>
                  <pic:nvPicPr>
                    <pic:cNvPr descr="figures/figure-s9.png" id="47" name="Picture"/>
                    <pic:cNvPicPr>
                      <a:picLocks noChangeArrowheads="1" noChangeAspect="1"/>
                    </pic:cNvPicPr>
                  </pic:nvPicPr>
                  <pic:blipFill>
                    <a:blip r:embed="rId45"/>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rPr>
          <w:bCs/>
          <w:b/>
        </w:rPr>
        <w:t xml:space="preserve">Figure S9. (a)</w:t>
      </w:r>
      <w:r>
        <w:t xml:space="preserve"> </w:t>
      </w:r>
      <w:r>
        <w:t xml:space="preserve">True colour in pipe loop feedwater, by month and year.</w:t>
      </w:r>
      <w:r>
        <w:t xml:space="preserve"> </w:t>
      </w:r>
      <w:r>
        <w:rPr>
          <w:bCs/>
          <w:b/>
        </w:rPr>
        <w:t xml:space="preserve">(b)</w:t>
      </w:r>
      <w:r>
        <w:t xml:space="preserve"> </w:t>
      </w:r>
      <w:r>
        <w:t xml:space="preserve">Aluminum in feedwater, by orthophosphate dose.</w:t>
      </w:r>
    </w:p>
    <w:bookmarkStart w:id="50" w:name="references"/>
    <w:p>
      <w:pPr>
        <w:pStyle w:val="Heading1"/>
      </w:pPr>
      <w:r>
        <w:t xml:space="preserve">References</w:t>
      </w:r>
    </w:p>
    <w:bookmarkStart w:id="49" w:name="refs"/>
    <w:bookmarkStart w:id="48" w:name="ref-gelman_bayesian_2014"/>
    <w:p>
      <w:pPr>
        <w:pStyle w:val="Bibliography"/>
      </w:pPr>
      <w:r>
        <w:t xml:space="preserve">(1)</w:t>
      </w:r>
      <w:r>
        <w:t xml:space="preserve"> </w:t>
      </w:r>
      <w:r>
        <w:t xml:space="preserve">	</w:t>
      </w:r>
      <w:r>
        <w:t xml:space="preserve">Gelman, A.; Carlin, J. B.; Stern, H. S.; Dunson, B., David; Vehtari, A.; Rubin, D. B.</w:t>
      </w:r>
      <w:r>
        <w:t xml:space="preserve"> </w:t>
      </w:r>
      <w:r>
        <w:rPr>
          <w:iCs/>
          <w:i/>
        </w:rPr>
        <w:t xml:space="preserve">Bayesian Data Analysis</w:t>
      </w:r>
      <w:r>
        <w:t xml:space="preserve">, Third edition.; Chapman &amp;</w:t>
      </w:r>
      <w:r>
        <w:t xml:space="preserve"> </w:t>
      </w:r>
      <w:r>
        <w:t xml:space="preserve">Hall</w:t>
      </w:r>
      <w:r>
        <w:t xml:space="preserve">/</w:t>
      </w:r>
      <w:r>
        <w:t xml:space="preserve">CRC</w:t>
      </w:r>
      <w:r>
        <w:t xml:space="preserve"> </w:t>
      </w:r>
      <w:r>
        <w:t xml:space="preserve">texts in statistical science; CRC Press: Boca Raton, 2014.</w:t>
      </w:r>
    </w:p>
    <w:bookmarkEnd w:id="48"/>
    <w:bookmarkEnd w:id="49"/>
    <w:bookmarkEnd w:id="50"/>
    <w:sectPr w:rsidR="005F2DED" w:rsidRPr="00A9030B" w:rsidSect="00794585">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9646670"/>
      <w:docPartObj>
        <w:docPartGallery w:val="Page Numbers (Bottom of Page)"/>
        <w:docPartUnique/>
      </w:docPartObj>
    </w:sdtPr>
    <w:sdtContent>
      <w:p w14:paraId="1ADFA45C" w14:textId="73ED98B5" w:rsidR="005777EE" w:rsidRDefault="005777EE"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ED2CE1" w14:textId="77777777" w:rsidR="005777EE" w:rsidRDefault="005777EE" w:rsidP="005777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5611234"/>
      <w:docPartObj>
        <w:docPartGallery w:val="Page Numbers (Bottom of Page)"/>
        <w:docPartUnique/>
      </w:docPartObj>
    </w:sdtPr>
    <w:sdtContent>
      <w:p w14:paraId="183C496C" w14:textId="0DE90C37" w:rsidR="005777EE" w:rsidRDefault="005777EE"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E7D752" w14:textId="77777777" w:rsidR="005777EE" w:rsidRDefault="005777EE" w:rsidP="005777EE">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D16F37D"/>
    <w:multiLevelType w:val="multilevel"/>
    <w:tmpl w:val="9D08E1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A98E7C5"/>
    <w:multiLevelType w:val="multilevel"/>
    <w:tmpl w:val="4D96E7D4"/>
    <w:lvl w:ilvl="0">
      <w:start w:val="1"/>
      <w:numFmt w:val="lowerRoman"/>
      <w:lvlText w:val="%1."/>
      <w:lvlJc w:val="left"/>
      <w:pPr>
        <w:tabs>
          <w:tab w:pos="0" w:val="num"/>
        </w:tabs>
        <w:ind w:hanging="480" w:left="480"/>
      </w:pPr>
    </w:lvl>
    <w:lvl w:ilvl="1">
      <w:start w:val="1"/>
      <w:numFmt w:val="lowerRoman"/>
      <w:lvlText w:val="%2."/>
      <w:lvlJc w:val="left"/>
      <w:pPr>
        <w:tabs>
          <w:tab w:pos="720" w:val="num"/>
        </w:tabs>
        <w:ind w:hanging="480" w:left="1200"/>
      </w:pPr>
    </w:lvl>
    <w:lvl w:ilvl="2">
      <w:start w:val="1"/>
      <w:numFmt w:val="lowerRoman"/>
      <w:lvlText w:val="%3."/>
      <w:lvlJc w:val="left"/>
      <w:pPr>
        <w:tabs>
          <w:tab w:pos="1440" w:val="num"/>
        </w:tabs>
        <w:ind w:hanging="480" w:left="1920"/>
      </w:pPr>
    </w:lvl>
    <w:lvl w:ilvl="3">
      <w:start w:val="1"/>
      <w:numFmt w:val="lowerRoman"/>
      <w:lvlText w:val="%4."/>
      <w:lvlJc w:val="left"/>
      <w:pPr>
        <w:tabs>
          <w:tab w:pos="2160" w:val="num"/>
        </w:tabs>
        <w:ind w:hanging="480" w:left="2640"/>
      </w:pPr>
    </w:lvl>
    <w:lvl w:ilvl="4">
      <w:start w:val="1"/>
      <w:numFmt w:val="lowerRoman"/>
      <w:lvlText w:val="%5."/>
      <w:lvlJc w:val="left"/>
      <w:pPr>
        <w:tabs>
          <w:tab w:pos="2880" w:val="num"/>
        </w:tabs>
        <w:ind w:hanging="480" w:left="3360"/>
      </w:pPr>
    </w:lvl>
    <w:lvl w:ilvl="5">
      <w:start w:val="1"/>
      <w:numFmt w:val="lowerRoman"/>
      <w:lvlText w:val="%6."/>
      <w:lvlJc w:val="left"/>
      <w:pPr>
        <w:tabs>
          <w:tab w:pos="3600" w:val="num"/>
        </w:tabs>
        <w:ind w:hanging="480" w:left="4080"/>
      </w:pPr>
    </w:lvl>
    <w:lvl w:ilvl="6">
      <w:start w:val="1"/>
      <w:numFmt w:val="lowerRoman"/>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CF3E065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FFFFFF7C"/>
    <w:multiLevelType w:val="singleLevel"/>
    <w:tmpl w:val="1E924108"/>
    <w:lvl w:ilvl="0">
      <w:start w:val="1"/>
      <w:numFmt w:val="decimal"/>
      <w:lvlText w:val="%1."/>
      <w:lvlJc w:val="left"/>
      <w:pPr>
        <w:tabs>
          <w:tab w:pos="1492" w:val="num"/>
        </w:tabs>
        <w:ind w:hanging="360" w:left="1492"/>
      </w:pPr>
    </w:lvl>
  </w:abstractNum>
  <w:abstractNum w15:restartNumberingAfterBreak="0" w:abstractNumId="4">
    <w:nsid w:val="FFFFFF7D"/>
    <w:multiLevelType w:val="singleLevel"/>
    <w:tmpl w:val="39EA392A"/>
    <w:lvl w:ilvl="0">
      <w:start w:val="1"/>
      <w:numFmt w:val="decimal"/>
      <w:lvlText w:val="%1."/>
      <w:lvlJc w:val="left"/>
      <w:pPr>
        <w:tabs>
          <w:tab w:pos="1209" w:val="num"/>
        </w:tabs>
        <w:ind w:hanging="360" w:left="1209"/>
      </w:pPr>
    </w:lvl>
  </w:abstractNum>
  <w:abstractNum w15:restartNumberingAfterBreak="0" w:abstractNumId="5">
    <w:nsid w:val="FFFFFF7E"/>
    <w:multiLevelType w:val="singleLevel"/>
    <w:tmpl w:val="6480FF48"/>
    <w:lvl w:ilvl="0">
      <w:start w:val="1"/>
      <w:numFmt w:val="decimal"/>
      <w:lvlText w:val="%1."/>
      <w:lvlJc w:val="left"/>
      <w:pPr>
        <w:tabs>
          <w:tab w:pos="926" w:val="num"/>
        </w:tabs>
        <w:ind w:hanging="360" w:left="926"/>
      </w:pPr>
    </w:lvl>
  </w:abstractNum>
  <w:abstractNum w15:restartNumberingAfterBreak="0" w:abstractNumId="6">
    <w:nsid w:val="FFFFFF7F"/>
    <w:multiLevelType w:val="singleLevel"/>
    <w:tmpl w:val="368299CC"/>
    <w:lvl w:ilvl="0">
      <w:start w:val="1"/>
      <w:numFmt w:val="decimal"/>
      <w:lvlText w:val="%1."/>
      <w:lvlJc w:val="left"/>
      <w:pPr>
        <w:tabs>
          <w:tab w:pos="643" w:val="num"/>
        </w:tabs>
        <w:ind w:hanging="360" w:left="643"/>
      </w:pPr>
    </w:lvl>
  </w:abstractNum>
  <w:abstractNum w15:restartNumberingAfterBreak="0" w:abstractNumId="7">
    <w:nsid w:val="FFFFFF80"/>
    <w:multiLevelType w:val="singleLevel"/>
    <w:tmpl w:val="6692776C"/>
    <w:lvl w:ilvl="0">
      <w:start w:val="1"/>
      <w:numFmt w:val="bullet"/>
      <w:lvlText w:val=""/>
      <w:lvlJc w:val="left"/>
      <w:pPr>
        <w:tabs>
          <w:tab w:pos="1492" w:val="num"/>
        </w:tabs>
        <w:ind w:hanging="360" w:left="1492"/>
      </w:pPr>
      <w:rPr>
        <w:rFonts w:ascii="Symbol" w:hAnsi="Symbol" w:hint="default"/>
      </w:rPr>
    </w:lvl>
  </w:abstractNum>
  <w:abstractNum w15:restartNumberingAfterBreak="0" w:abstractNumId="8">
    <w:nsid w:val="FFFFFF81"/>
    <w:multiLevelType w:val="singleLevel"/>
    <w:tmpl w:val="FF003CE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9">
    <w:nsid w:val="FFFFFF82"/>
    <w:multiLevelType w:val="singleLevel"/>
    <w:tmpl w:val="E87A4DCE"/>
    <w:lvl w:ilvl="0">
      <w:start w:val="1"/>
      <w:numFmt w:val="bullet"/>
      <w:lvlText w:val=""/>
      <w:lvlJc w:val="left"/>
      <w:pPr>
        <w:tabs>
          <w:tab w:pos="926" w:val="num"/>
        </w:tabs>
        <w:ind w:hanging="360" w:left="926"/>
      </w:pPr>
      <w:rPr>
        <w:rFonts w:ascii="Symbol" w:hAnsi="Symbol" w:hint="default"/>
      </w:rPr>
    </w:lvl>
  </w:abstractNum>
  <w:abstractNum w15:restartNumberingAfterBreak="0" w:abstractNumId="10">
    <w:nsid w:val="FFFFFF83"/>
    <w:multiLevelType w:val="singleLevel"/>
    <w:tmpl w:val="59C09E4C"/>
    <w:lvl w:ilvl="0">
      <w:start w:val="1"/>
      <w:numFmt w:val="bullet"/>
      <w:lvlText w:val=""/>
      <w:lvlJc w:val="left"/>
      <w:pPr>
        <w:tabs>
          <w:tab w:pos="643" w:val="num"/>
        </w:tabs>
        <w:ind w:hanging="360" w:left="643"/>
      </w:pPr>
      <w:rPr>
        <w:rFonts w:ascii="Symbol" w:hAnsi="Symbol" w:hint="default"/>
      </w:rPr>
    </w:lvl>
  </w:abstractNum>
  <w:abstractNum w15:restartNumberingAfterBreak="0" w:abstractNumId="11">
    <w:nsid w:val="FFFFFF88"/>
    <w:multiLevelType w:val="singleLevel"/>
    <w:tmpl w:val="96F80E3C"/>
    <w:lvl w:ilvl="0">
      <w:start w:val="1"/>
      <w:numFmt w:val="decimal"/>
      <w:lvlText w:val="%1."/>
      <w:lvlJc w:val="left"/>
      <w:pPr>
        <w:tabs>
          <w:tab w:pos="360" w:val="num"/>
        </w:tabs>
        <w:ind w:hanging="360" w:left="360"/>
      </w:pPr>
    </w:lvl>
  </w:abstractNum>
  <w:abstractNum w15:restartNumberingAfterBreak="0" w:abstractNumId="12">
    <w:nsid w:val="FFFFFF89"/>
    <w:multiLevelType w:val="singleLevel"/>
    <w:tmpl w:val="3E0258FC"/>
    <w:lvl w:ilvl="0">
      <w:start w:val="1"/>
      <w:numFmt w:val="bullet"/>
      <w:lvlText w:val=""/>
      <w:lvlJc w:val="left"/>
      <w:pPr>
        <w:tabs>
          <w:tab w:pos="360" w:val="num"/>
        </w:tabs>
        <w:ind w:hanging="360" w:left="360"/>
      </w:pPr>
      <w:rPr>
        <w:rFonts w:ascii="Symbol" w:hAnsi="Symbol" w:hint="default"/>
      </w:rPr>
    </w:lvl>
  </w:abstractNum>
  <w:abstractNum w15:restartNumberingAfterBreak="0" w:abstractNumId="13">
    <w:nsid w:val="2D0B75AB"/>
    <w:multiLevelType w:val="multilevel"/>
    <w:tmpl w:val="0B4CA96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4">
    <w:nsid w:val="2F8CD899"/>
    <w:multiLevelType w:val="multilevel"/>
    <w:tmpl w:val="49468BCA"/>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5">
    <w:nsid w:val="77259E51"/>
    <w:multiLevelType w:val="multilevel"/>
    <w:tmpl w:val="537C2202"/>
    <w:lvl w:ilvl="0">
      <w:start w:val="1"/>
      <w:numFmt w:val="lowerLetter"/>
      <w:lvlText w:val="%1."/>
      <w:lvlJc w:val="left"/>
      <w:pPr>
        <w:tabs>
          <w:tab w:pos="0" w:val="num"/>
        </w:tabs>
        <w:ind w:hanging="480" w:left="480"/>
      </w:pPr>
    </w:lvl>
    <w:lvl w:ilvl="1">
      <w:start w:val="1"/>
      <w:numFmt w:val="lowerLetter"/>
      <w:lvlText w:val="%2."/>
      <w:lvlJc w:val="left"/>
      <w:pPr>
        <w:tabs>
          <w:tab w:pos="720" w:val="num"/>
        </w:tabs>
        <w:ind w:hanging="480" w:left="1200"/>
      </w:pPr>
    </w:lvl>
    <w:lvl w:ilvl="2">
      <w:start w:val="1"/>
      <w:numFmt w:val="lowerLetter"/>
      <w:lvlText w:val="%3."/>
      <w:lvlJc w:val="left"/>
      <w:pPr>
        <w:tabs>
          <w:tab w:pos="1440" w:val="num"/>
        </w:tabs>
        <w:ind w:hanging="480" w:left="1920"/>
      </w:pPr>
    </w:lvl>
    <w:lvl w:ilvl="3">
      <w:start w:val="1"/>
      <w:numFmt w:val="lowerLetter"/>
      <w:lvlText w:val="%4."/>
      <w:lvlJc w:val="left"/>
      <w:pPr>
        <w:tabs>
          <w:tab w:pos="2160" w:val="num"/>
        </w:tabs>
        <w:ind w:hanging="480" w:left="2640"/>
      </w:pPr>
    </w:lvl>
    <w:lvl w:ilvl="4">
      <w:start w:val="1"/>
      <w:numFmt w:val="lowerLetter"/>
      <w:lvlText w:val="%5."/>
      <w:lvlJc w:val="left"/>
      <w:pPr>
        <w:tabs>
          <w:tab w:pos="2880" w:val="num"/>
        </w:tabs>
        <w:ind w:hanging="480" w:left="3360"/>
      </w:pPr>
    </w:lvl>
    <w:lvl w:ilvl="5">
      <w:start w:val="1"/>
      <w:numFmt w:val="lowerLetter"/>
      <w:lvlText w:val="%6."/>
      <w:lvlJc w:val="left"/>
      <w:pPr>
        <w:tabs>
          <w:tab w:pos="3600" w:val="num"/>
        </w:tabs>
        <w:ind w:hanging="480" w:left="4080"/>
      </w:pPr>
    </w:lvl>
    <w:lvl w:ilvl="6">
      <w:start w:val="1"/>
      <w:numFmt w:val="lowerLetter"/>
      <w:lvlText w:val="%7."/>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3"/>
  </w:num>
  <w:num w:numId="3">
    <w:abstractNumId w:val="0"/>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0"/>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3"/>
  </w:num>
  <w:num w:numId="11">
    <w:abstractNumId w:val="4"/>
  </w:num>
  <w:num w:numId="12">
    <w:abstractNumId w:val="5"/>
  </w:num>
  <w:num w:numId="13">
    <w:abstractNumId w:val="6"/>
  </w:num>
  <w:num w:numId="14">
    <w:abstractNumId w:val="11"/>
  </w:num>
  <w:num w:numId="15">
    <w:abstractNumId w:val="7"/>
  </w:num>
  <w:num w:numId="16">
    <w:abstractNumId w:val="8"/>
  </w:num>
  <w:num w:numId="17">
    <w:abstractNumId w:val="9"/>
  </w:num>
  <w:num w:numId="18">
    <w:abstractNumId w:val="10"/>
  </w:num>
  <w:num w:numId="19">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heading 6"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44B73"/>
    <w:pPr>
      <w:spacing w:after="180" w:before="180" w:line="360" w:lineRule="auto"/>
    </w:pPr>
    <w:rPr>
      <w:rFonts w:ascii="Helvetica" w:hAnsi="Helvetica"/>
    </w:rPr>
  </w:style>
  <w:style w:styleId="Heading1" w:type="paragraph">
    <w:name w:val="heading 1"/>
    <w:basedOn w:val="Normal"/>
    <w:next w:val="BodyText"/>
    <w:uiPriority w:val="9"/>
    <w:qFormat/>
    <w:rsid w:val="00C243BD"/>
    <w:pPr>
      <w:keepNext/>
      <w:keepLines/>
      <w:spacing w:after="24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C243BD"/>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next w:val="BodyText"/>
    <w:uiPriority w:val="9"/>
    <w:unhideWhenUsed/>
    <w:qFormat/>
    <w:rsid w:val="00C243BD"/>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rsid w:val="00C243BD"/>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autoRedefine/>
    <w:uiPriority w:val="9"/>
    <w:unhideWhenUsed/>
    <w:qFormat/>
    <w:rsid w:val="00191DFA"/>
    <w:pPr>
      <w:keepNext/>
      <w:keepLines/>
      <w:pageBreakBefore/>
      <w:spacing w:after="0" w:before="200"/>
      <w:outlineLvl w:val="5"/>
    </w:pPr>
    <w:rPr>
      <w:rFonts w:cstheme="majorBidi" w:eastAsiaTheme="majorEastAsia"/>
      <w:color w:themeColor="background1" w:val="FFFFFF"/>
      <w:sz w:val="1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533E3B"/>
  </w:style>
  <w:style w:customStyle="1" w:styleId="FirstParagraph" w:type="paragraph">
    <w:name w:val="First Paragraph"/>
    <w:basedOn w:val="BodyText"/>
    <w:next w:val="BodyText"/>
    <w:qFormat/>
    <w:rsid w:val="00D11C2A"/>
  </w:style>
  <w:style w:customStyle="1" w:styleId="Compact" w:type="paragraph">
    <w:name w:val="Compact"/>
    <w:basedOn w:val="BodyText"/>
    <w:qFormat/>
    <w:rsid w:val="007B0BB8"/>
    <w:pPr>
      <w:spacing w:after="36" w:before="36" w:line="240" w:lineRule="auto"/>
    </w:pPr>
    <w:rPr>
      <w:sz w:val="20"/>
      <w:szCs w:val="20"/>
    </w:rPr>
  </w:style>
  <w:style w:styleId="Title" w:type="paragraph">
    <w:name w:val="Title"/>
    <w:basedOn w:val="Normal"/>
    <w:next w:val="BodyText"/>
    <w:autoRedefine/>
    <w:qFormat/>
    <w:rsid w:val="00794585"/>
    <w:pPr>
      <w:keepNext/>
      <w:keepLines/>
      <w:spacing w:after="240" w:before="480" w:line="240" w:lineRule="auto"/>
    </w:pPr>
    <w:rPr>
      <w:rFonts w:cstheme="majorBidi" w:eastAsiaTheme="majorEastAsia"/>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243BD"/>
    <w:pPr>
      <w:keepNext/>
      <w:keepLines/>
    </w:pPr>
    <w:rPr>
      <w:rFonts w:ascii="Helvetica" w:hAnsi="Helvetica"/>
    </w:rPr>
  </w:style>
  <w:style w:styleId="Date" w:type="paragraph">
    <w:name w:val="Date"/>
    <w:next w:val="BodyText"/>
    <w:qFormat/>
    <w:rsid w:val="00C243BD"/>
    <w:pPr>
      <w:keepNext/>
      <w:keepLines/>
    </w:pPr>
    <w:rPr>
      <w:rFonts w:ascii="Helvetica" w:hAnsi="Helvetica"/>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autoRedefine/>
    <w:qFormat/>
    <w:rsid w:val="008A47A4"/>
    <w:pPr>
      <w:spacing w:line="240" w:lineRule="auto"/>
      <w:ind w:hanging="720" w:left="720"/>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autoRedefine/>
    <w:qFormat/>
    <w:rsid w:val="001B15DB"/>
    <w:pPr>
      <w:keepNext/>
      <w:spacing w:after="240" w:before="300" w:line="240" w:lineRule="auto"/>
    </w:pPr>
    <w:rPr>
      <w:i w:val="0"/>
      <w:sz w:val="22"/>
    </w:rPr>
  </w:style>
  <w:style w:customStyle="1" w:styleId="ImageCaption" w:type="paragraph">
    <w:name w:val="Image Caption"/>
    <w:basedOn w:val="Caption"/>
    <w:autoRedefine/>
    <w:qFormat/>
    <w:rsid w:val="001B15DB"/>
    <w:pPr>
      <w:spacing w:after="240" w:before="300" w:line="240" w:lineRule="auto"/>
    </w:pPr>
    <w:rPr>
      <w:i w:val="0"/>
      <w:sz w:val="22"/>
    </w:rPr>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533E3B"/>
    <w:rPr>
      <w:rFonts w:ascii="Helvetica" w:hAnsi="Helvetica"/>
    </w:rPr>
  </w:style>
  <w:style w:styleId="BalloonText" w:type="paragraph">
    <w:name w:val="Balloon Text"/>
    <w:basedOn w:val="Normal"/>
    <w:link w:val="BalloonTextChar"/>
    <w:semiHidden/>
    <w:unhideWhenUsed/>
    <w:rsid w:val="00A9030B"/>
    <w:pPr>
      <w:spacing w:after="0"/>
    </w:pPr>
    <w:rPr>
      <w:rFonts w:ascii="Lucida Grande" w:cs="Lucida Grande" w:hAnsi="Lucida Grande"/>
      <w:sz w:val="18"/>
      <w:szCs w:val="18"/>
    </w:rPr>
  </w:style>
  <w:style w:customStyle="1" w:styleId="BalloonTextChar" w:type="character">
    <w:name w:val="Balloon Text Char"/>
    <w:basedOn w:val="DefaultParagraphFont"/>
    <w:link w:val="BalloonText"/>
    <w:semiHidden/>
    <w:rsid w:val="00A9030B"/>
    <w:rPr>
      <w:rFonts w:ascii="Lucida Grande" w:cs="Lucida Grande" w:hAnsi="Lucida Grande"/>
      <w:sz w:val="18"/>
      <w:szCs w:val="18"/>
    </w:rPr>
  </w:style>
  <w:style w:styleId="LineNumber" w:type="character">
    <w:name w:val="line number"/>
    <w:basedOn w:val="DefaultParagraphFont"/>
    <w:semiHidden/>
    <w:unhideWhenUsed/>
    <w:rsid w:val="00794585"/>
  </w:style>
  <w:style w:styleId="Footer" w:type="paragraph">
    <w:name w:val="footer"/>
    <w:basedOn w:val="Normal"/>
    <w:link w:val="FooterChar"/>
    <w:unhideWhenUsed/>
    <w:rsid w:val="005777EE"/>
    <w:pPr>
      <w:tabs>
        <w:tab w:pos="4680" w:val="center"/>
        <w:tab w:pos="9360" w:val="right"/>
      </w:tabs>
      <w:spacing w:after="0" w:before="0" w:line="240" w:lineRule="auto"/>
    </w:pPr>
  </w:style>
  <w:style w:customStyle="1" w:styleId="FooterChar" w:type="character">
    <w:name w:val="Footer Char"/>
    <w:basedOn w:val="DefaultParagraphFont"/>
    <w:link w:val="Footer"/>
    <w:rsid w:val="005777EE"/>
    <w:rPr>
      <w:rFonts w:ascii="Helvetica" w:hAnsi="Helvetica"/>
    </w:rPr>
  </w:style>
  <w:style w:styleId="PageNumber" w:type="character">
    <w:name w:val="page number"/>
    <w:basedOn w:val="DefaultParagraphFont"/>
    <w:semiHidden/>
    <w:unhideWhenUsed/>
    <w:rsid w:val="005777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hyperlink" Id="rId20" Target="mailto:benjamin.trueman@dal.ca" TargetMode="External" /></Relationships>
</file>

<file path=word/_rels/footnotes.xml.rels><?xml version="1.0" encoding="UTF-8"?><Relationships xmlns="http://schemas.openxmlformats.org/package/2006/relationships"><Relationship Type="http://schemas.openxmlformats.org/officeDocument/2006/relationships/hyperlink" Id="rId20" Target="mailto:benjamin.trueman@dal.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4</Pages>
  <Words>424</Words>
  <Characters>2420</Characters>
  <Application>Microsoft Office Word</Application>
  <DocSecurity>0</DocSecurity>
  <Lines>20</Lines>
  <Paragraphs>5</Paragraphs>
  <ScaleCrop>false</ScaleCrop>
  <Company/>
  <LinksUpToDate>false</LinksUpToDate>
  <CharactersWithSpaces>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information for Comparing corrosion control treatments for drinking water using a robust Bayesian generalized additive model</dc:title>
  <dc:creator>Benjamin F. Trueman§,*, Wendell James†, Trevor Shu†, Evelyne Doré§, and Graham A. Gagnon§</dc:creator>
  <cp:keywords/>
  <dcterms:created xsi:type="dcterms:W3CDTF">2022-07-27T16:59:55Z</dcterms:created>
  <dcterms:modified xsi:type="dcterms:W3CDTF">2022-07-27T16:59:55Z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environmental-science-and-technology.csl</vt:lpwstr>
  </property>
  <property fmtid="{D5CDD505-2E9C-101B-9397-08002B2CF9AE}" pid="4" name="date">
    <vt:lpwstr>§Centre for Water Resources Studies, Department of Civil &amp; Resource Engineering, Dalhousie University, 1360 Barrington St., Halifax, NS, CAN B3H 4R2    †EPCOR Water Services, Edmonton, AB, CAN    *Corresponding author: benjamin.trueman@dal.ca</vt:lpwstr>
  </property>
  <property fmtid="{D5CDD505-2E9C-101B-9397-08002B2CF9AE}" pid="5" name="output">
    <vt:lpwstr/>
  </property>
</Properties>
</file>